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DA89" w14:textId="7111CB87" w:rsidR="007D54DE" w:rsidRDefault="007D54DE" w:rsidP="007D54DE">
      <w:pPr>
        <w:widowControl/>
        <w:spacing w:before="240"/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54DE">
        <w:rPr>
          <w:rFonts w:asciiTheme="minorHAnsi" w:hAnsiTheme="minorHAnsi" w:cstheme="minorHAnsi"/>
          <w:b/>
          <w:sz w:val="28"/>
          <w:szCs w:val="28"/>
        </w:rPr>
        <w:t>UNA MIRADA AL ROL DEL LICENCIADO EN NUTRICIÓN: APORTES Y HERRAMIENTAS DESDE EL ENFOQUE DE LA GESTIÓN INTEGRAL DEL RIESGO</w:t>
      </w:r>
    </w:p>
    <w:p w14:paraId="0D46A144" w14:textId="6428AB0F" w:rsidR="007D54DE" w:rsidRPr="007D54DE" w:rsidRDefault="007D54DE" w:rsidP="007D54DE">
      <w:pPr>
        <w:widowControl/>
        <w:spacing w:before="240"/>
        <w:ind w:left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CURSO DE EDUCACIÓN PERMANENTE</w:t>
      </w:r>
    </w:p>
    <w:p w14:paraId="0E239318" w14:textId="731C94AD" w:rsidR="007D54DE" w:rsidRDefault="007D54DE" w:rsidP="007D54DE">
      <w:pPr>
        <w:spacing w:before="240"/>
        <w:ind w:left="720"/>
        <w:jc w:val="both"/>
        <w:rPr>
          <w:rFonts w:asciiTheme="minorHAnsi" w:hAnsiTheme="minorHAnsi" w:cstheme="minorHAnsi"/>
          <w:bCs/>
        </w:rPr>
      </w:pPr>
      <w:r w:rsidRPr="007D54DE">
        <w:rPr>
          <w:rFonts w:asciiTheme="minorHAnsi" w:hAnsiTheme="minorHAnsi" w:cstheme="minorHAnsi"/>
          <w:b/>
        </w:rPr>
        <w:t>OBJETIVO GENERAL</w:t>
      </w:r>
    </w:p>
    <w:p w14:paraId="1E46F5C4" w14:textId="68CCA6B0" w:rsidR="007D54DE" w:rsidRPr="007D54DE" w:rsidRDefault="007D54DE" w:rsidP="007D54DE">
      <w:pPr>
        <w:spacing w:before="240"/>
        <w:ind w:left="720"/>
        <w:jc w:val="both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Conocer y reflexionar en torno a las prácticas profesionales de los /las Lic. en Nutrición durante la emergencia sanitaria por COVID-19 en nuestro país desde el enfoque de la gestión integral del riesgo de desastres.</w:t>
      </w:r>
    </w:p>
    <w:p w14:paraId="2E30EF2D" w14:textId="26378FEB" w:rsidR="007D54DE" w:rsidRPr="007D54DE" w:rsidRDefault="007D54DE" w:rsidP="007D54DE">
      <w:pPr>
        <w:spacing w:before="240"/>
        <w:ind w:left="720"/>
        <w:jc w:val="both"/>
        <w:rPr>
          <w:rFonts w:asciiTheme="minorHAnsi" w:hAnsiTheme="minorHAnsi" w:cstheme="minorHAnsi"/>
          <w:b/>
        </w:rPr>
      </w:pPr>
      <w:r w:rsidRPr="007D54DE">
        <w:rPr>
          <w:rFonts w:asciiTheme="minorHAnsi" w:hAnsiTheme="minorHAnsi" w:cstheme="minorHAnsi"/>
          <w:b/>
        </w:rPr>
        <w:t>OBJETIVOS ESPECÍFICOS</w:t>
      </w:r>
    </w:p>
    <w:p w14:paraId="26544A38" w14:textId="77777777" w:rsidR="007D54DE" w:rsidRPr="007D54DE" w:rsidRDefault="007D54DE" w:rsidP="007D54DE">
      <w:pPr>
        <w:numPr>
          <w:ilvl w:val="0"/>
          <w:numId w:val="14"/>
        </w:numPr>
        <w:autoSpaceDN/>
        <w:spacing w:before="240"/>
        <w:ind w:left="1133" w:hanging="425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Brindar herramientas para el trabajo desde el enfoque de la gestión integral del riesgo de desastres, emergencias y crisis.</w:t>
      </w:r>
    </w:p>
    <w:p w14:paraId="0AB01B04" w14:textId="77777777" w:rsidR="007D54DE" w:rsidRPr="007D54DE" w:rsidRDefault="007D54DE" w:rsidP="007D54DE">
      <w:pPr>
        <w:numPr>
          <w:ilvl w:val="0"/>
          <w:numId w:val="14"/>
        </w:numPr>
        <w:autoSpaceDN/>
        <w:spacing w:after="240"/>
        <w:ind w:left="1133" w:hanging="425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Problematizar acerca de la realidad nacional a partir del desempeño en diversas áreas disciplinares.</w:t>
      </w:r>
    </w:p>
    <w:p w14:paraId="57017D50" w14:textId="77777777" w:rsidR="007D54DE" w:rsidRPr="007D54DE" w:rsidRDefault="007D54DE" w:rsidP="007D54DE">
      <w:pPr>
        <w:autoSpaceDN/>
        <w:spacing w:before="240" w:after="240"/>
        <w:ind w:left="720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  <w:b/>
        </w:rPr>
        <w:t>DOCENTE RESPONSABLE DEL CURSO</w:t>
      </w:r>
    </w:p>
    <w:p w14:paraId="6F31582D" w14:textId="77777777" w:rsidR="007D54DE" w:rsidRPr="007D54DE" w:rsidRDefault="007D54DE" w:rsidP="007D54DE">
      <w:pPr>
        <w:spacing w:before="240"/>
        <w:ind w:left="720"/>
        <w:jc w:val="both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Adriana </w:t>
      </w:r>
      <w:proofErr w:type="spellStart"/>
      <w:r w:rsidRPr="007D54DE">
        <w:rPr>
          <w:rFonts w:asciiTheme="minorHAnsi" w:hAnsiTheme="minorHAnsi" w:cstheme="minorHAnsi"/>
        </w:rPr>
        <w:t>Cauci</w:t>
      </w:r>
      <w:proofErr w:type="spellEnd"/>
      <w:r w:rsidRPr="007D54DE">
        <w:rPr>
          <w:rFonts w:asciiTheme="minorHAnsi" w:hAnsiTheme="minorHAnsi" w:cstheme="minorHAnsi"/>
        </w:rPr>
        <w:t xml:space="preserve">, Natalia De Ávila </w:t>
      </w:r>
    </w:p>
    <w:p w14:paraId="412448F8" w14:textId="77777777" w:rsidR="007D54DE" w:rsidRPr="007D54DE" w:rsidRDefault="007D54DE" w:rsidP="007D54DE">
      <w:pPr>
        <w:autoSpaceDN/>
        <w:spacing w:before="240" w:after="240"/>
        <w:ind w:left="720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  <w:b/>
        </w:rPr>
        <w:t>DOCENTES UDELAR PARTICIPANTES DEL DICTADO</w:t>
      </w:r>
    </w:p>
    <w:p w14:paraId="2810348D" w14:textId="77777777" w:rsidR="007D54DE" w:rsidRPr="007D54DE" w:rsidRDefault="007D54DE" w:rsidP="007D54DE">
      <w:pPr>
        <w:spacing w:before="240"/>
        <w:ind w:left="720"/>
        <w:jc w:val="both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Adriana </w:t>
      </w:r>
      <w:proofErr w:type="spellStart"/>
      <w:r w:rsidRPr="007D54DE">
        <w:rPr>
          <w:rFonts w:asciiTheme="minorHAnsi" w:hAnsiTheme="minorHAnsi" w:cstheme="minorHAnsi"/>
        </w:rPr>
        <w:t>Cauci</w:t>
      </w:r>
      <w:proofErr w:type="spellEnd"/>
      <w:r w:rsidRPr="007D54DE">
        <w:rPr>
          <w:rFonts w:asciiTheme="minorHAnsi" w:hAnsiTheme="minorHAnsi" w:cstheme="minorHAnsi"/>
        </w:rPr>
        <w:t>, Natalia De Ávila, Gabriela Fajardo, Guillermo Silva</w:t>
      </w:r>
    </w:p>
    <w:p w14:paraId="36E90FF4" w14:textId="3BDFDC9D" w:rsidR="007D54DE" w:rsidRPr="007D54DE" w:rsidRDefault="007D54DE" w:rsidP="007D54DE">
      <w:pPr>
        <w:autoSpaceDN/>
        <w:spacing w:before="240" w:after="240"/>
        <w:ind w:left="72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</w:t>
      </w:r>
      <w:r w:rsidRPr="007D54DE">
        <w:rPr>
          <w:rFonts w:asciiTheme="minorHAnsi" w:hAnsiTheme="minorHAnsi" w:cstheme="minorHAnsi"/>
          <w:b/>
        </w:rPr>
        <w:t>OCENTES INVITADOS</w:t>
      </w:r>
    </w:p>
    <w:p w14:paraId="2615D697" w14:textId="77777777" w:rsidR="007D54DE" w:rsidRPr="007D54DE" w:rsidRDefault="007D54DE" w:rsidP="007D54DE">
      <w:pPr>
        <w:widowControl/>
        <w:spacing w:before="240"/>
        <w:ind w:left="720"/>
        <w:jc w:val="both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Alejandra Girona, Claudia Suarez, Estela </w:t>
      </w:r>
      <w:proofErr w:type="spellStart"/>
      <w:r w:rsidRPr="007D54DE">
        <w:rPr>
          <w:rFonts w:asciiTheme="minorHAnsi" w:hAnsiTheme="minorHAnsi" w:cstheme="minorHAnsi"/>
        </w:rPr>
        <w:t>Eskapino</w:t>
      </w:r>
      <w:proofErr w:type="spellEnd"/>
    </w:p>
    <w:p w14:paraId="6381F316" w14:textId="46BA12E7" w:rsidR="007D54DE" w:rsidRPr="007D54DE" w:rsidRDefault="007D54DE" w:rsidP="007D54DE">
      <w:pPr>
        <w:autoSpaceDN/>
        <w:spacing w:before="240" w:after="240"/>
        <w:ind w:left="720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  <w:b/>
        </w:rPr>
        <w:t>PROGRAMA DEL CURSO</w:t>
      </w:r>
    </w:p>
    <w:p w14:paraId="0B577899" w14:textId="77777777" w:rsidR="007D54DE" w:rsidRPr="007D54DE" w:rsidRDefault="007D54DE" w:rsidP="007D54DE">
      <w:pPr>
        <w:widowControl/>
        <w:spacing w:before="240"/>
        <w:ind w:left="708"/>
        <w:jc w:val="both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Aspectos teóricos vinculados a la reducción del riesgo de desastres en Uruguay y el proceso de la gestión integral del riesgo de desastres.</w:t>
      </w:r>
    </w:p>
    <w:p w14:paraId="35BA44BF" w14:textId="77777777" w:rsidR="007D54DE" w:rsidRPr="007D54DE" w:rsidRDefault="007D54DE" w:rsidP="007D54DE">
      <w:pPr>
        <w:widowControl/>
        <w:spacing w:before="240"/>
        <w:ind w:left="708"/>
        <w:jc w:val="both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Herramientas psicosociales para la reducción del riesgo de desastres. Aportes para </w:t>
      </w:r>
      <w:proofErr w:type="gramStart"/>
      <w:r w:rsidRPr="007D54DE">
        <w:rPr>
          <w:rFonts w:asciiTheme="minorHAnsi" w:hAnsiTheme="minorHAnsi" w:cstheme="minorHAnsi"/>
        </w:rPr>
        <w:t>re pensar</w:t>
      </w:r>
      <w:proofErr w:type="gramEnd"/>
      <w:r w:rsidRPr="007D54DE">
        <w:rPr>
          <w:rFonts w:asciiTheme="minorHAnsi" w:hAnsiTheme="minorHAnsi" w:cstheme="minorHAnsi"/>
        </w:rPr>
        <w:t xml:space="preserve"> las prácticas. Gestión de la emergencia y comunicación.</w:t>
      </w:r>
    </w:p>
    <w:p w14:paraId="45EC31F2" w14:textId="77777777" w:rsidR="007D54DE" w:rsidRPr="007D54DE" w:rsidRDefault="007D54DE" w:rsidP="007D54DE">
      <w:pPr>
        <w:widowControl/>
        <w:spacing w:before="240"/>
        <w:ind w:left="708"/>
        <w:jc w:val="both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lastRenderedPageBreak/>
        <w:t xml:space="preserve">Vulnerabilidad y riesgo: las distintas dimensiones de la vulnerabilidad (pre y </w:t>
      </w:r>
      <w:proofErr w:type="spellStart"/>
      <w:proofErr w:type="gramStart"/>
      <w:r w:rsidRPr="007D54DE">
        <w:rPr>
          <w:rFonts w:asciiTheme="minorHAnsi" w:hAnsiTheme="minorHAnsi" w:cstheme="minorHAnsi"/>
        </w:rPr>
        <w:t>pos</w:t>
      </w:r>
      <w:proofErr w:type="spellEnd"/>
      <w:r w:rsidRPr="007D54DE">
        <w:rPr>
          <w:rFonts w:asciiTheme="minorHAnsi" w:hAnsiTheme="minorHAnsi" w:cstheme="minorHAnsi"/>
        </w:rPr>
        <w:t xml:space="preserve"> COVID</w:t>
      </w:r>
      <w:proofErr w:type="gramEnd"/>
      <w:r w:rsidRPr="007D54DE">
        <w:rPr>
          <w:rFonts w:asciiTheme="minorHAnsi" w:hAnsiTheme="minorHAnsi" w:cstheme="minorHAnsi"/>
        </w:rPr>
        <w:t xml:space="preserve"> 19) y su abordaje.</w:t>
      </w:r>
    </w:p>
    <w:p w14:paraId="1144F399" w14:textId="77777777" w:rsidR="007D54DE" w:rsidRPr="007D54DE" w:rsidRDefault="007D54DE" w:rsidP="007D54DE">
      <w:pPr>
        <w:widowControl/>
        <w:spacing w:before="240"/>
        <w:ind w:left="708"/>
        <w:jc w:val="both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Impactos y respuestas desde las diversas áreas de desempeño: Clínica, Servicios de Alimentación, Trabajo en comunidad.</w:t>
      </w:r>
    </w:p>
    <w:p w14:paraId="67CC2D1A" w14:textId="251C1ECF" w:rsidR="007D54DE" w:rsidRPr="007D54DE" w:rsidRDefault="007D54DE" w:rsidP="007D54DE">
      <w:pPr>
        <w:spacing w:before="240"/>
        <w:ind w:left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DESTINATARIOS</w:t>
      </w:r>
    </w:p>
    <w:p w14:paraId="2A89B286" w14:textId="2D5D3357" w:rsidR="007D54DE" w:rsidRPr="007D54DE" w:rsidRDefault="007D54DE" w:rsidP="007D54DE">
      <w:pPr>
        <w:spacing w:before="240"/>
        <w:ind w:left="708"/>
        <w:jc w:val="both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Licenciados en Nutrición</w:t>
      </w:r>
      <w:r>
        <w:rPr>
          <w:rFonts w:asciiTheme="minorHAnsi" w:hAnsiTheme="minorHAnsi" w:cstheme="minorHAnsi"/>
        </w:rPr>
        <w:t xml:space="preserve"> y </w:t>
      </w:r>
      <w:r w:rsidRPr="007D54DE">
        <w:rPr>
          <w:rFonts w:asciiTheme="minorHAnsi" w:hAnsiTheme="minorHAnsi" w:cstheme="minorHAnsi"/>
        </w:rPr>
        <w:t>Egresados Universitarios con experiencia y/o interés en el campo de la Gestión Integral del Riesgo con énfasis en los aspectos alimentarios y nutricionales</w:t>
      </w:r>
    </w:p>
    <w:p w14:paraId="43719841" w14:textId="77777777" w:rsidR="007D54DE" w:rsidRDefault="007D54DE" w:rsidP="007D54DE">
      <w:pPr>
        <w:autoSpaceDN/>
        <w:spacing w:before="240" w:after="240"/>
        <w:ind w:left="720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  <w:b/>
        </w:rPr>
        <w:t>CARGA HORARIA TOTAL</w:t>
      </w:r>
      <w:r w:rsidRPr="007D54DE">
        <w:rPr>
          <w:rFonts w:asciiTheme="minorHAnsi" w:hAnsiTheme="minorHAnsi" w:cstheme="minorHAnsi"/>
        </w:rPr>
        <w:t xml:space="preserve">  </w:t>
      </w:r>
    </w:p>
    <w:p w14:paraId="3642745E" w14:textId="52B9F825" w:rsidR="007D54DE" w:rsidRPr="007D54DE" w:rsidRDefault="007D54DE" w:rsidP="007D54DE">
      <w:pPr>
        <w:autoSpaceDN/>
        <w:spacing w:before="240" w:after="240"/>
        <w:ind w:left="720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30 horas</w:t>
      </w:r>
      <w:r>
        <w:rPr>
          <w:rFonts w:asciiTheme="minorHAnsi" w:hAnsiTheme="minorHAnsi" w:cstheme="minorHAnsi"/>
        </w:rPr>
        <w:t>, correspondientes a 2 créditos académicos</w:t>
      </w:r>
      <w:r w:rsidRPr="007D54DE">
        <w:rPr>
          <w:rFonts w:asciiTheme="minorHAnsi" w:hAnsiTheme="minorHAnsi" w:cstheme="minorHAnsi"/>
        </w:rPr>
        <w:t xml:space="preserve"> </w:t>
      </w:r>
    </w:p>
    <w:p w14:paraId="38954B30" w14:textId="77777777" w:rsidR="007D54DE" w:rsidRDefault="007D54DE" w:rsidP="007D54DE">
      <w:pPr>
        <w:spacing w:before="240"/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MODALIDAD DE DICTADO</w:t>
      </w:r>
    </w:p>
    <w:p w14:paraId="292FA39E" w14:textId="16EDB714" w:rsidR="007D54DE" w:rsidRPr="007D54DE" w:rsidRDefault="007D54DE" w:rsidP="007D54DE">
      <w:pPr>
        <w:spacing w:before="240"/>
        <w:ind w:left="720"/>
        <w:jc w:val="both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Modalidad virtual</w:t>
      </w:r>
      <w:r>
        <w:rPr>
          <w:rFonts w:asciiTheme="minorHAnsi" w:hAnsiTheme="minorHAnsi" w:cstheme="minorHAnsi"/>
        </w:rPr>
        <w:t xml:space="preserve"> a través de plataforma </w:t>
      </w:r>
      <w:proofErr w:type="gramStart"/>
      <w:r>
        <w:rPr>
          <w:rFonts w:asciiTheme="minorHAnsi" w:hAnsiTheme="minorHAnsi" w:cstheme="minorHAnsi"/>
        </w:rPr>
        <w:t>ZOOM</w:t>
      </w:r>
      <w:proofErr w:type="gramEnd"/>
      <w:r>
        <w:rPr>
          <w:rFonts w:asciiTheme="minorHAnsi" w:hAnsiTheme="minorHAnsi" w:cstheme="minorHAnsi"/>
        </w:rPr>
        <w:t xml:space="preserve"> y EVA</w:t>
      </w:r>
      <w:r w:rsidRPr="007D54DE">
        <w:rPr>
          <w:rFonts w:asciiTheme="minorHAnsi" w:hAnsiTheme="minorHAnsi" w:cstheme="minorHAnsi"/>
        </w:rPr>
        <w:t>. Días con actividades sincrónicas lunes de 17 a 19 h</w:t>
      </w:r>
      <w:r>
        <w:rPr>
          <w:rFonts w:asciiTheme="minorHAnsi" w:hAnsiTheme="minorHAnsi" w:cstheme="minorHAnsi"/>
        </w:rPr>
        <w:t>oras (se recomienda la presencialidad en las actividades de los lunes).</w:t>
      </w:r>
    </w:p>
    <w:p w14:paraId="2894B000" w14:textId="77777777" w:rsidR="007D54DE" w:rsidRDefault="007D54DE" w:rsidP="007D54DE">
      <w:pPr>
        <w:autoSpaceDN/>
        <w:spacing w:before="240" w:after="240"/>
        <w:ind w:left="720"/>
        <w:textAlignment w:val="auto"/>
        <w:rPr>
          <w:rFonts w:asciiTheme="minorHAnsi" w:hAnsiTheme="minorHAnsi" w:cstheme="minorHAnsi"/>
          <w:b/>
        </w:rPr>
      </w:pPr>
      <w:r w:rsidRPr="007D54DE">
        <w:rPr>
          <w:rFonts w:asciiTheme="minorHAnsi" w:hAnsiTheme="minorHAnsi" w:cstheme="minorHAnsi"/>
          <w:b/>
        </w:rPr>
        <w:t>FECHA DE</w:t>
      </w:r>
      <w:r>
        <w:rPr>
          <w:rFonts w:asciiTheme="minorHAnsi" w:hAnsiTheme="minorHAnsi" w:cstheme="minorHAnsi"/>
          <w:b/>
        </w:rPr>
        <w:t>L CURSO</w:t>
      </w:r>
    </w:p>
    <w:p w14:paraId="0142C5EC" w14:textId="37671E3D" w:rsidR="007D54DE" w:rsidRPr="007D54DE" w:rsidRDefault="007D54DE" w:rsidP="007D54DE">
      <w:pPr>
        <w:autoSpaceDN/>
        <w:spacing w:before="240" w:after="240"/>
        <w:ind w:left="720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6 de setiembre al </w:t>
      </w:r>
      <w:r>
        <w:rPr>
          <w:rFonts w:asciiTheme="minorHAnsi" w:hAnsiTheme="minorHAnsi" w:cstheme="minorHAnsi"/>
        </w:rPr>
        <w:t>10</w:t>
      </w:r>
      <w:r w:rsidRPr="007D54DE">
        <w:rPr>
          <w:rFonts w:asciiTheme="minorHAnsi" w:hAnsiTheme="minorHAnsi" w:cstheme="minorHAnsi"/>
        </w:rPr>
        <w:t xml:space="preserve"> de octubre</w:t>
      </w:r>
      <w:r>
        <w:rPr>
          <w:rFonts w:asciiTheme="minorHAnsi" w:hAnsiTheme="minorHAnsi" w:cstheme="minorHAnsi"/>
        </w:rPr>
        <w:t xml:space="preserve"> de 2021</w:t>
      </w:r>
    </w:p>
    <w:p w14:paraId="2FC725A6" w14:textId="77777777" w:rsidR="007D54DE" w:rsidRPr="007D54DE" w:rsidRDefault="007D54DE" w:rsidP="007D54DE">
      <w:pPr>
        <w:autoSpaceDN/>
        <w:spacing w:before="240" w:after="240"/>
        <w:ind w:left="720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  <w:b/>
        </w:rPr>
        <w:t>CALENDARIO DEL CURSO (ABREVIADO)</w:t>
      </w:r>
    </w:p>
    <w:tbl>
      <w:tblPr>
        <w:tblStyle w:val="TableNormal"/>
        <w:tblW w:w="10665" w:type="dxa"/>
        <w:tblInd w:w="0" w:type="dxa"/>
        <w:tblCellMar>
          <w:top w:w="100" w:type="dxa"/>
          <w:left w:w="95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089"/>
        <w:gridCol w:w="4349"/>
        <w:gridCol w:w="3227"/>
      </w:tblGrid>
      <w:tr w:rsidR="007D54DE" w:rsidRPr="007D54DE" w14:paraId="01C2ECEB" w14:textId="77777777" w:rsidTr="007D54DE">
        <w:trPr>
          <w:trHeight w:val="299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4CF70" w14:textId="77777777" w:rsidR="007D54DE" w:rsidRPr="007D54DE" w:rsidRDefault="007D54DE" w:rsidP="009A5C00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b/>
                <w:sz w:val="24"/>
                <w:szCs w:val="24"/>
              </w:rPr>
              <w:t>Semanas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69FBA" w14:textId="77777777" w:rsidR="007D54DE" w:rsidRPr="007D54DE" w:rsidRDefault="007D54DE" w:rsidP="009A5C00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b/>
                <w:sz w:val="24"/>
                <w:szCs w:val="24"/>
              </w:rPr>
              <w:t>Tema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A8A92" w14:textId="77777777" w:rsidR="007D54DE" w:rsidRPr="007D54DE" w:rsidRDefault="007D54DE" w:rsidP="009A5C00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b/>
                <w:sz w:val="24"/>
                <w:szCs w:val="24"/>
              </w:rPr>
              <w:t>Docente responsable</w:t>
            </w:r>
          </w:p>
        </w:tc>
      </w:tr>
      <w:tr w:rsidR="007D54DE" w:rsidRPr="007D54DE" w14:paraId="7E5C8347" w14:textId="77777777" w:rsidTr="009A5C00">
        <w:trPr>
          <w:trHeight w:val="166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99BC" w14:textId="77777777" w:rsidR="007D54DE" w:rsidRPr="007D54DE" w:rsidRDefault="007D54DE" w:rsidP="009A5C00">
            <w:pPr>
              <w:spacing w:before="24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Semana 1: 6/9 al 10/9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19B23" w14:textId="77777777" w:rsidR="007D54DE" w:rsidRPr="007D54DE" w:rsidRDefault="007D54DE" w:rsidP="009A5C00">
            <w:pPr>
              <w:spacing w:before="240"/>
              <w:ind w:lef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Aspectos teóricos vinculados a la reducción del riesgo de desastres en Uruguay y el proceso de la gestión integral del riesgo de desastres.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97663" w14:textId="77777777" w:rsidR="007D54DE" w:rsidRPr="007D54DE" w:rsidRDefault="007D54DE" w:rsidP="009A5C00">
            <w:pPr>
              <w:spacing w:before="240" w:after="120"/>
              <w:ind w:left="141" w:right="-834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Natalia De Ávila</w:t>
            </w:r>
          </w:p>
          <w:p w14:paraId="29CFAABA" w14:textId="77777777" w:rsidR="007D54DE" w:rsidRPr="007D54DE" w:rsidRDefault="007D54DE" w:rsidP="009A5C00">
            <w:pPr>
              <w:spacing w:before="240" w:after="120"/>
              <w:ind w:left="141" w:right="-834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 xml:space="preserve">Adriana </w:t>
            </w:r>
            <w:proofErr w:type="spellStart"/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Cauci</w:t>
            </w:r>
            <w:proofErr w:type="spellEnd"/>
          </w:p>
          <w:p w14:paraId="1ED577AA" w14:textId="77777777" w:rsidR="007D54DE" w:rsidRPr="007D54DE" w:rsidRDefault="007D54DE" w:rsidP="009A5C00">
            <w:pPr>
              <w:spacing w:before="24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Gabriela Fajardo</w:t>
            </w:r>
          </w:p>
        </w:tc>
      </w:tr>
      <w:tr w:rsidR="007D54DE" w:rsidRPr="007D54DE" w14:paraId="17305A7A" w14:textId="77777777" w:rsidTr="009A5C00">
        <w:trPr>
          <w:trHeight w:val="196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548C8" w14:textId="77777777" w:rsidR="007D54DE" w:rsidRPr="007D54DE" w:rsidRDefault="007D54DE" w:rsidP="009A5C00">
            <w:pPr>
              <w:spacing w:before="24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Semana 2: 13/9 al 17/9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60297" w14:textId="77777777" w:rsidR="007D54DE" w:rsidRPr="007D54DE" w:rsidRDefault="007D54DE" w:rsidP="009A5C00">
            <w:pPr>
              <w:spacing w:before="240"/>
              <w:ind w:lef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 xml:space="preserve">Herramientas psicosociales para la reducción del riesgo de desastres. Aportes para </w:t>
            </w:r>
            <w:proofErr w:type="gramStart"/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re pensar</w:t>
            </w:r>
            <w:proofErr w:type="gramEnd"/>
            <w:r w:rsidRPr="007D54DE">
              <w:rPr>
                <w:rFonts w:asciiTheme="minorHAnsi" w:hAnsiTheme="minorHAnsi" w:cstheme="minorHAnsi"/>
                <w:sz w:val="24"/>
                <w:szCs w:val="24"/>
              </w:rPr>
              <w:t xml:space="preserve"> las prácticas. Gestión de la emergencia y comunicación.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E1DD7" w14:textId="77777777" w:rsidR="007D54DE" w:rsidRPr="007D54DE" w:rsidRDefault="007D54DE" w:rsidP="009A5C00">
            <w:pPr>
              <w:spacing w:before="240" w:after="120"/>
              <w:ind w:left="141" w:right="-834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Natalia De Ávila</w:t>
            </w:r>
          </w:p>
          <w:p w14:paraId="044BA9C9" w14:textId="77777777" w:rsidR="007D54DE" w:rsidRPr="007D54DE" w:rsidRDefault="007D54DE" w:rsidP="009A5C00">
            <w:pPr>
              <w:spacing w:before="240" w:after="120"/>
              <w:ind w:left="141" w:right="-834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 xml:space="preserve">Adriana </w:t>
            </w:r>
            <w:proofErr w:type="spellStart"/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Cauci</w:t>
            </w:r>
            <w:proofErr w:type="spellEnd"/>
          </w:p>
          <w:p w14:paraId="65BD2DFA" w14:textId="77777777" w:rsidR="007D54DE" w:rsidRPr="007D54DE" w:rsidRDefault="007D54DE" w:rsidP="009A5C00">
            <w:pPr>
              <w:spacing w:before="24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Gabriela Fajardo</w:t>
            </w:r>
          </w:p>
          <w:p w14:paraId="2599C53C" w14:textId="77777777" w:rsidR="007D54DE" w:rsidRPr="007D54DE" w:rsidRDefault="007D54DE" w:rsidP="009A5C00">
            <w:pPr>
              <w:spacing w:before="24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Guillermo Silva</w:t>
            </w:r>
          </w:p>
        </w:tc>
      </w:tr>
      <w:tr w:rsidR="007D54DE" w:rsidRPr="007D54DE" w14:paraId="7CDB7325" w14:textId="77777777" w:rsidTr="009A5C00">
        <w:trPr>
          <w:trHeight w:val="180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BBF55" w14:textId="77777777" w:rsidR="007D54DE" w:rsidRPr="007D54DE" w:rsidRDefault="007D54DE" w:rsidP="009A5C00">
            <w:pPr>
              <w:spacing w:before="24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Semana 3: 20/9 al 24/9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DE85" w14:textId="77777777" w:rsidR="007D54DE" w:rsidRPr="007D54DE" w:rsidRDefault="007D54DE" w:rsidP="009A5C00">
            <w:pPr>
              <w:spacing w:before="240"/>
              <w:ind w:lef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 xml:space="preserve">Vulnerabilidad y riesgo: las distintas dimensiones de la vulnerabilidad (pre y </w:t>
            </w:r>
            <w:proofErr w:type="spellStart"/>
            <w:proofErr w:type="gramStart"/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pos</w:t>
            </w:r>
            <w:proofErr w:type="spellEnd"/>
            <w:r w:rsidRPr="007D54DE">
              <w:rPr>
                <w:rFonts w:asciiTheme="minorHAnsi" w:hAnsiTheme="minorHAnsi" w:cstheme="minorHAnsi"/>
                <w:sz w:val="24"/>
                <w:szCs w:val="24"/>
              </w:rPr>
              <w:t xml:space="preserve"> COVID</w:t>
            </w:r>
            <w:proofErr w:type="gramEnd"/>
            <w:r w:rsidRPr="007D54DE">
              <w:rPr>
                <w:rFonts w:asciiTheme="minorHAnsi" w:hAnsiTheme="minorHAnsi" w:cstheme="minorHAnsi"/>
                <w:sz w:val="24"/>
                <w:szCs w:val="24"/>
              </w:rPr>
              <w:t xml:space="preserve"> 19) y su abordaje.</w:t>
            </w:r>
          </w:p>
          <w:p w14:paraId="0EE06877" w14:textId="77777777" w:rsidR="007D54DE" w:rsidRPr="007D54DE" w:rsidRDefault="007D54DE" w:rsidP="009A5C00">
            <w:pPr>
              <w:spacing w:before="240"/>
              <w:ind w:lef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45008" w14:textId="77777777" w:rsidR="007D54DE" w:rsidRPr="007D54DE" w:rsidRDefault="007D54DE" w:rsidP="009A5C00">
            <w:pPr>
              <w:spacing w:before="24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Gabriela Fajardo</w:t>
            </w:r>
          </w:p>
          <w:p w14:paraId="704F2296" w14:textId="77777777" w:rsidR="007D54DE" w:rsidRPr="007D54DE" w:rsidRDefault="007D54DE" w:rsidP="009A5C00">
            <w:pPr>
              <w:spacing w:before="240" w:after="12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 xml:space="preserve">Adriana </w:t>
            </w:r>
            <w:proofErr w:type="spellStart"/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Cauci</w:t>
            </w:r>
            <w:proofErr w:type="spellEnd"/>
          </w:p>
          <w:p w14:paraId="26EED2F9" w14:textId="77777777" w:rsidR="007D54DE" w:rsidRPr="007D54DE" w:rsidRDefault="007D54DE" w:rsidP="009A5C00">
            <w:pPr>
              <w:spacing w:before="240" w:after="12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Natalia De Ávila</w:t>
            </w:r>
          </w:p>
          <w:p w14:paraId="33206550" w14:textId="77777777" w:rsidR="007D54DE" w:rsidRPr="007D54DE" w:rsidRDefault="007D54DE" w:rsidP="009A5C00">
            <w:pPr>
              <w:spacing w:before="240" w:after="12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Guillermo Silva</w:t>
            </w:r>
          </w:p>
        </w:tc>
      </w:tr>
      <w:tr w:rsidR="007D54DE" w:rsidRPr="007D54DE" w14:paraId="43DEEA63" w14:textId="77777777" w:rsidTr="009A5C00">
        <w:trPr>
          <w:trHeight w:val="1470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D3E6B" w14:textId="77777777" w:rsidR="007D54DE" w:rsidRPr="007D54DE" w:rsidRDefault="007D54DE" w:rsidP="009A5C00">
            <w:pPr>
              <w:spacing w:before="24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Semana 4: 27/9 al 1/10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0389C" w14:textId="77777777" w:rsidR="007D54DE" w:rsidRPr="007D54DE" w:rsidRDefault="007D54DE" w:rsidP="009A5C00">
            <w:pPr>
              <w:spacing w:before="240"/>
              <w:ind w:lef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Impactos y respuestas desde las diversas áreas de desempeño: Clínica, Servicios de Alimentación, Trabajo en comunidad.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872D2" w14:textId="77777777" w:rsidR="007D54DE" w:rsidRPr="007D54DE" w:rsidRDefault="007D54DE" w:rsidP="009A5C00">
            <w:pPr>
              <w:spacing w:before="240" w:after="120"/>
              <w:ind w:left="141" w:right="-834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Natalia De Ávila</w:t>
            </w:r>
          </w:p>
          <w:p w14:paraId="3DD993F8" w14:textId="77777777" w:rsidR="007D54DE" w:rsidRPr="007D54DE" w:rsidRDefault="007D54DE" w:rsidP="009A5C00">
            <w:pPr>
              <w:spacing w:before="240" w:after="120"/>
              <w:ind w:left="141" w:right="-834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 xml:space="preserve">Adriana </w:t>
            </w:r>
            <w:proofErr w:type="spellStart"/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Cauci</w:t>
            </w:r>
            <w:proofErr w:type="spellEnd"/>
          </w:p>
          <w:p w14:paraId="5F0E54FA" w14:textId="77777777" w:rsidR="007D54DE" w:rsidRPr="007D54DE" w:rsidRDefault="007D54DE" w:rsidP="009A5C00">
            <w:pPr>
              <w:spacing w:before="240"/>
              <w:ind w:left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Gabriela Fajardo</w:t>
            </w:r>
          </w:p>
        </w:tc>
      </w:tr>
      <w:tr w:rsidR="007D54DE" w:rsidRPr="007D54DE" w14:paraId="74A3E4AD" w14:textId="77777777" w:rsidTr="009A5C00">
        <w:trPr>
          <w:trHeight w:val="1035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2C390" w14:textId="77777777" w:rsidR="007D54DE" w:rsidRPr="007D54DE" w:rsidRDefault="007D54DE" w:rsidP="009A5C00">
            <w:pPr>
              <w:spacing w:before="24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Semana 5: 4/10 al 8/10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53EDD" w14:textId="77777777" w:rsidR="007D54DE" w:rsidRPr="007D54DE" w:rsidRDefault="007D54DE" w:rsidP="009A5C00">
            <w:pPr>
              <w:spacing w:before="240"/>
              <w:ind w:left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D54DE">
              <w:rPr>
                <w:rFonts w:asciiTheme="minorHAnsi" w:hAnsiTheme="minorHAnsi" w:cstheme="minorHAnsi"/>
                <w:sz w:val="24"/>
                <w:szCs w:val="24"/>
              </w:rPr>
              <w:t>Trabajo final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945B4" w14:textId="77777777" w:rsidR="007D54DE" w:rsidRPr="007D54DE" w:rsidRDefault="007D54DE" w:rsidP="009A5C00">
            <w:pPr>
              <w:spacing w:before="240"/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19A9F9" w14:textId="3FC61D87" w:rsidR="007D54DE" w:rsidRPr="007D54DE" w:rsidRDefault="007D54DE" w:rsidP="007D54DE">
      <w:pPr>
        <w:spacing w:before="240"/>
        <w:jc w:val="both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br w:type="page"/>
      </w:r>
      <w:r w:rsidRPr="007D54DE">
        <w:rPr>
          <w:rFonts w:asciiTheme="minorHAnsi" w:hAnsiTheme="minorHAnsi" w:cstheme="minorHAnsi"/>
          <w:b/>
        </w:rPr>
        <w:lastRenderedPageBreak/>
        <w:t>BIBLIOGRAFÍA B</w:t>
      </w:r>
      <w:r>
        <w:rPr>
          <w:rFonts w:asciiTheme="minorHAnsi" w:hAnsiTheme="minorHAnsi" w:cstheme="minorHAnsi"/>
          <w:b/>
        </w:rPr>
        <w:t>Á</w:t>
      </w:r>
      <w:r w:rsidRPr="007D54DE">
        <w:rPr>
          <w:rFonts w:asciiTheme="minorHAnsi" w:hAnsiTheme="minorHAnsi" w:cstheme="minorHAnsi"/>
          <w:b/>
        </w:rPr>
        <w:t>SICA Y LECTURAS RECOMENDADAS</w:t>
      </w:r>
    </w:p>
    <w:p w14:paraId="1F9A6C3B" w14:textId="77777777" w:rsidR="007D54DE" w:rsidRPr="007D54DE" w:rsidRDefault="007D54DE" w:rsidP="007D54DE">
      <w:pPr>
        <w:spacing w:before="240" w:after="240"/>
        <w:ind w:left="720"/>
        <w:jc w:val="both"/>
        <w:rPr>
          <w:rFonts w:asciiTheme="minorHAnsi" w:hAnsiTheme="minorHAnsi" w:cstheme="minorHAnsi"/>
          <w:b/>
        </w:rPr>
      </w:pPr>
    </w:p>
    <w:p w14:paraId="0236E4CF" w14:textId="77777777" w:rsidR="007D54DE" w:rsidRPr="007D54DE" w:rsidRDefault="007D54DE" w:rsidP="007D54DE">
      <w:pPr>
        <w:numPr>
          <w:ilvl w:val="0"/>
          <w:numId w:val="20"/>
        </w:numPr>
        <w:autoSpaceDN/>
        <w:spacing w:before="240"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ARCOS PI, CASTRO R, DEL BUSTO F. Desastres y salud pública: un abordaje desde el marco teórico de la epidemiología. Revista Española de Salud Pública v.76 n.2 Madrid mar. 2002.</w:t>
      </w:r>
    </w:p>
    <w:p w14:paraId="0EF496B8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Asociación Esfera. Manual Esfera: Carta Humanitaria y normas mínimas para la respuesta humanitaria, cuarta edición, Ginebra, Suiza, 2018.</w:t>
      </w:r>
    </w:p>
    <w:p w14:paraId="5846C931" w14:textId="77777777" w:rsidR="007D54DE" w:rsidRPr="007D54DE" w:rsidRDefault="007D54DE" w:rsidP="007D54DE">
      <w:pPr>
        <w:numPr>
          <w:ilvl w:val="0"/>
          <w:numId w:val="20"/>
        </w:numPr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Brunet, Gerónimo, Girona, Alejandra, Fajardo, Gabriela, </w:t>
      </w:r>
      <w:proofErr w:type="spellStart"/>
      <w:r w:rsidRPr="007D54DE">
        <w:rPr>
          <w:rFonts w:asciiTheme="minorHAnsi" w:hAnsiTheme="minorHAnsi" w:cstheme="minorHAnsi"/>
        </w:rPr>
        <w:t>Iragola</w:t>
      </w:r>
      <w:proofErr w:type="spellEnd"/>
      <w:r w:rsidRPr="007D54DE">
        <w:rPr>
          <w:rFonts w:asciiTheme="minorHAnsi" w:hAnsiTheme="minorHAnsi" w:cstheme="minorHAnsi"/>
        </w:rPr>
        <w:t xml:space="preserve">, Valentina, Machín, Leandro, Ares, Gastón, </w:t>
      </w:r>
      <w:proofErr w:type="spellStart"/>
      <w:r w:rsidRPr="007D54DE">
        <w:rPr>
          <w:rFonts w:asciiTheme="minorHAnsi" w:hAnsiTheme="minorHAnsi" w:cstheme="minorHAnsi"/>
        </w:rPr>
        <w:t>Bove</w:t>
      </w:r>
      <w:proofErr w:type="spellEnd"/>
      <w:r w:rsidRPr="007D54DE">
        <w:rPr>
          <w:rFonts w:asciiTheme="minorHAnsi" w:hAnsiTheme="minorHAnsi" w:cstheme="minorHAnsi"/>
        </w:rPr>
        <w:t xml:space="preserve">, Isabel (b). </w:t>
      </w:r>
      <w:r w:rsidRPr="007D54DE">
        <w:rPr>
          <w:rFonts w:asciiTheme="minorHAnsi" w:hAnsiTheme="minorHAnsi" w:cstheme="minorHAnsi"/>
          <w:i/>
        </w:rPr>
        <w:t xml:space="preserve">Acciones de la Sociedad Civil Uruguaya para Favorecer el Acceso a </w:t>
      </w:r>
      <w:proofErr w:type="gramStart"/>
      <w:r w:rsidRPr="007D54DE">
        <w:rPr>
          <w:rFonts w:asciiTheme="minorHAnsi" w:hAnsiTheme="minorHAnsi" w:cstheme="minorHAnsi"/>
          <w:i/>
        </w:rPr>
        <w:t>los  Alimentos</w:t>
      </w:r>
      <w:proofErr w:type="gramEnd"/>
      <w:r w:rsidRPr="007D54DE">
        <w:rPr>
          <w:rFonts w:asciiTheme="minorHAnsi" w:hAnsiTheme="minorHAnsi" w:cstheme="minorHAnsi"/>
          <w:i/>
        </w:rPr>
        <w:t xml:space="preserve"> y Productos de Higiene. </w:t>
      </w:r>
      <w:r w:rsidRPr="007D54DE">
        <w:rPr>
          <w:rFonts w:asciiTheme="minorHAnsi" w:hAnsiTheme="minorHAnsi" w:cstheme="minorHAnsi"/>
        </w:rPr>
        <w:t>Colección salud y bienestar la respuesta de Uruguay frente a la crisis generada por el coronavirus (COVID-19). Montevideo: UNICEF, 2020.</w:t>
      </w:r>
      <w:hyperlink r:id="rId7">
        <w:r w:rsidRPr="007D54DE">
          <w:rPr>
            <w:rFonts w:asciiTheme="minorHAnsi" w:hAnsiTheme="minorHAnsi" w:cstheme="minorHAnsi"/>
            <w:color w:val="1155CC"/>
            <w:u w:val="single"/>
          </w:rPr>
          <w:t>https://www.unicef.org/uruguay/informes/acciones-de-la-sociedad-civil-uruguaya-para-favorecer-el-acceso-alimentos-y-productos-de/</w:t>
        </w:r>
      </w:hyperlink>
      <w:r w:rsidRPr="007D54DE">
        <w:rPr>
          <w:rFonts w:asciiTheme="minorHAnsi" w:hAnsiTheme="minorHAnsi" w:cstheme="minorHAnsi"/>
        </w:rPr>
        <w:t xml:space="preserve"> </w:t>
      </w:r>
    </w:p>
    <w:p w14:paraId="2EA13E0F" w14:textId="77777777" w:rsidR="007D54DE" w:rsidRPr="007D54DE" w:rsidRDefault="007D54DE" w:rsidP="007D54DE">
      <w:pPr>
        <w:numPr>
          <w:ilvl w:val="0"/>
          <w:numId w:val="20"/>
        </w:numPr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Brunet, Gerónimo, Girona, Alejandra, Fajardo, Gabriela, </w:t>
      </w:r>
      <w:proofErr w:type="spellStart"/>
      <w:r w:rsidRPr="007D54DE">
        <w:rPr>
          <w:rFonts w:asciiTheme="minorHAnsi" w:hAnsiTheme="minorHAnsi" w:cstheme="minorHAnsi"/>
        </w:rPr>
        <w:t>Iragola</w:t>
      </w:r>
      <w:proofErr w:type="spellEnd"/>
      <w:r w:rsidRPr="007D54DE">
        <w:rPr>
          <w:rFonts w:asciiTheme="minorHAnsi" w:hAnsiTheme="minorHAnsi" w:cstheme="minorHAnsi"/>
        </w:rPr>
        <w:t xml:space="preserve">, Valentina, Machín, Leandro, Ares, Gastón, </w:t>
      </w:r>
      <w:proofErr w:type="spellStart"/>
      <w:r w:rsidRPr="007D54DE">
        <w:rPr>
          <w:rFonts w:asciiTheme="minorHAnsi" w:hAnsiTheme="minorHAnsi" w:cstheme="minorHAnsi"/>
        </w:rPr>
        <w:t>Bove</w:t>
      </w:r>
      <w:proofErr w:type="spellEnd"/>
      <w:r w:rsidRPr="007D54DE">
        <w:rPr>
          <w:rFonts w:asciiTheme="minorHAnsi" w:hAnsiTheme="minorHAnsi" w:cstheme="minorHAnsi"/>
        </w:rPr>
        <w:t xml:space="preserve">, Isabel. </w:t>
      </w:r>
      <w:r w:rsidRPr="007D54DE">
        <w:rPr>
          <w:rFonts w:asciiTheme="minorHAnsi" w:hAnsiTheme="minorHAnsi" w:cstheme="minorHAnsi"/>
          <w:i/>
        </w:rPr>
        <w:t xml:space="preserve">Acciones del Estado Uruguayo para Favorecer el Acceso a Alimentos y Productos de Higiene. </w:t>
      </w:r>
      <w:r w:rsidRPr="007D54DE">
        <w:rPr>
          <w:rFonts w:asciiTheme="minorHAnsi" w:hAnsiTheme="minorHAnsi" w:cstheme="minorHAnsi"/>
        </w:rPr>
        <w:t xml:space="preserve">Colección salud y bienestar la respuesta de Uruguay frente a la crisis generada por el coronavirus (COVID-19). Montevideo: UNICEF, 2020), </w:t>
      </w:r>
      <w:hyperlink r:id="rId8">
        <w:r w:rsidRPr="007D54DE">
          <w:rPr>
            <w:rFonts w:asciiTheme="minorHAnsi" w:hAnsiTheme="minorHAnsi" w:cstheme="minorHAnsi"/>
            <w:color w:val="1155CC"/>
            <w:u w:val="single"/>
          </w:rPr>
          <w:t>https://www.unicef.org/uruguay/informes/acciones-del-estado-uruguayo-para-favorecer-el-acceso-alimentos-y-productos-de-higiene/</w:t>
        </w:r>
      </w:hyperlink>
      <w:r w:rsidRPr="007D54DE">
        <w:rPr>
          <w:rFonts w:asciiTheme="minorHAnsi" w:hAnsiTheme="minorHAnsi" w:cstheme="minorHAnsi"/>
        </w:rPr>
        <w:t xml:space="preserve"> (</w:t>
      </w:r>
      <w:proofErr w:type="spellStart"/>
      <w:r w:rsidRPr="007D54DE">
        <w:rPr>
          <w:rFonts w:asciiTheme="minorHAnsi" w:hAnsiTheme="minorHAnsi" w:cstheme="minorHAnsi"/>
        </w:rPr>
        <w:t>Accessed</w:t>
      </w:r>
      <w:proofErr w:type="spellEnd"/>
      <w:r w:rsidRPr="007D54DE">
        <w:rPr>
          <w:rFonts w:asciiTheme="minorHAnsi" w:hAnsiTheme="minorHAnsi" w:cstheme="minorHAnsi"/>
        </w:rPr>
        <w:t xml:space="preserve"> Jan 24, 2021)</w:t>
      </w:r>
    </w:p>
    <w:p w14:paraId="7AD69672" w14:textId="77777777" w:rsidR="007D54DE" w:rsidRPr="007D54DE" w:rsidRDefault="007D54DE" w:rsidP="007D54DE">
      <w:pPr>
        <w:numPr>
          <w:ilvl w:val="0"/>
          <w:numId w:val="20"/>
        </w:numPr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proofErr w:type="spellStart"/>
      <w:r w:rsidRPr="007D54DE">
        <w:rPr>
          <w:rFonts w:asciiTheme="minorHAnsi" w:hAnsiTheme="minorHAnsi" w:cstheme="minorHAnsi"/>
        </w:rPr>
        <w:t>Brum</w:t>
      </w:r>
      <w:proofErr w:type="spellEnd"/>
      <w:r w:rsidRPr="007D54DE">
        <w:rPr>
          <w:rFonts w:asciiTheme="minorHAnsi" w:hAnsiTheme="minorHAnsi" w:cstheme="minorHAnsi"/>
        </w:rPr>
        <w:t xml:space="preserve">, Matías, De Rosa, Mauricio. </w:t>
      </w:r>
      <w:r w:rsidRPr="007D54DE">
        <w:rPr>
          <w:rFonts w:asciiTheme="minorHAnsi" w:hAnsiTheme="minorHAnsi" w:cstheme="minorHAnsi"/>
          <w:i/>
        </w:rPr>
        <w:t xml:space="preserve">Estimación del Efecto de Corto Plazo de la COVID-19 en la Pobreza en Uruguay. </w:t>
      </w:r>
      <w:r w:rsidRPr="007D54DE">
        <w:rPr>
          <w:rFonts w:asciiTheme="minorHAnsi" w:hAnsiTheme="minorHAnsi" w:cstheme="minorHAnsi"/>
        </w:rPr>
        <w:t xml:space="preserve">Montevideo: Facultad de Ciencias Económicas y de Administración, Instituto de Economía, Universidad de la República, 2020. </w:t>
      </w:r>
      <w:hyperlink r:id="rId9">
        <w:r w:rsidRPr="007D54DE">
          <w:rPr>
            <w:rFonts w:asciiTheme="minorHAnsi" w:hAnsiTheme="minorHAnsi" w:cstheme="minorHAnsi"/>
            <w:color w:val="1155CC"/>
            <w:u w:val="single"/>
          </w:rPr>
          <w:t>https://www.colibri.udelar.edu.uy/jspui/bitstream/20.500.12008/24083/1/Estimaci%c3%b3n_del_efecto_de_corto_plazo_de_la_covid-19_en_la_pobreza_en_Uruguay.pdf</w:t>
        </w:r>
      </w:hyperlink>
      <w:r w:rsidRPr="007D54DE">
        <w:rPr>
          <w:rFonts w:asciiTheme="minorHAnsi" w:hAnsiTheme="minorHAnsi" w:cstheme="minorHAnsi"/>
        </w:rPr>
        <w:t>.</w:t>
      </w:r>
    </w:p>
    <w:p w14:paraId="15567AD1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QUÉ ESFERA, Por, et al. EL PROYECTO ESFERA: Carta Humanitaria y Normas mínimas de respuesta Humanitaria en caso de desastre. 2011.</w:t>
      </w:r>
    </w:p>
    <w:p w14:paraId="31B270E1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CAMACHO M, LESCANO G, ARMADA M. Plan de Alimentación para Emergencias de largo plazo. Argentina: CIUNSa - INIQUI - Facultad de Ingeniería - Universidad Nacional de Salta; 2002.</w:t>
      </w:r>
    </w:p>
    <w:p w14:paraId="25A1301F" w14:textId="77777777" w:rsidR="007D54DE" w:rsidRPr="007D54DE" w:rsidRDefault="007D54DE" w:rsidP="007D54DE">
      <w:pPr>
        <w:numPr>
          <w:ilvl w:val="0"/>
          <w:numId w:val="20"/>
        </w:numPr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Capurro, Alfonso, </w:t>
      </w:r>
      <w:proofErr w:type="spellStart"/>
      <w:r w:rsidRPr="007D54DE">
        <w:rPr>
          <w:rFonts w:asciiTheme="minorHAnsi" w:hAnsiTheme="minorHAnsi" w:cstheme="minorHAnsi"/>
        </w:rPr>
        <w:t>Deagosto</w:t>
      </w:r>
      <w:proofErr w:type="spellEnd"/>
      <w:r w:rsidRPr="007D54DE">
        <w:rPr>
          <w:rFonts w:asciiTheme="minorHAnsi" w:hAnsiTheme="minorHAnsi" w:cstheme="minorHAnsi"/>
        </w:rPr>
        <w:t xml:space="preserve">, Germán, </w:t>
      </w:r>
      <w:proofErr w:type="spellStart"/>
      <w:r w:rsidRPr="007D54DE">
        <w:rPr>
          <w:rFonts w:asciiTheme="minorHAnsi" w:hAnsiTheme="minorHAnsi" w:cstheme="minorHAnsi"/>
        </w:rPr>
        <w:t>Ithurralde</w:t>
      </w:r>
      <w:proofErr w:type="spellEnd"/>
      <w:r w:rsidRPr="007D54DE">
        <w:rPr>
          <w:rFonts w:asciiTheme="minorHAnsi" w:hAnsiTheme="minorHAnsi" w:cstheme="minorHAnsi"/>
        </w:rPr>
        <w:t xml:space="preserve">, Sebastián and </w:t>
      </w:r>
      <w:proofErr w:type="spellStart"/>
      <w:r w:rsidRPr="007D54DE">
        <w:rPr>
          <w:rFonts w:asciiTheme="minorHAnsi" w:hAnsiTheme="minorHAnsi" w:cstheme="minorHAnsi"/>
        </w:rPr>
        <w:t>Oddone</w:t>
      </w:r>
      <w:proofErr w:type="spellEnd"/>
      <w:r w:rsidRPr="007D54DE">
        <w:rPr>
          <w:rFonts w:asciiTheme="minorHAnsi" w:hAnsiTheme="minorHAnsi" w:cstheme="minorHAnsi"/>
        </w:rPr>
        <w:t xml:space="preserve"> Gabriel. Impacto Social y Económico de la COVID-19 y Opciones de Políticas en Uruguay. Serie de Documentos de Política Pública</w:t>
      </w:r>
      <w:r w:rsidRPr="007D54DE">
        <w:rPr>
          <w:rFonts w:asciiTheme="minorHAnsi" w:hAnsiTheme="minorHAnsi" w:cstheme="minorHAnsi"/>
          <w:i/>
        </w:rPr>
        <w:t xml:space="preserve">. </w:t>
      </w:r>
      <w:r w:rsidRPr="007D54DE">
        <w:rPr>
          <w:rFonts w:asciiTheme="minorHAnsi" w:hAnsiTheme="minorHAnsi" w:cstheme="minorHAnsi"/>
        </w:rPr>
        <w:t>Montevideo; PNUD América Latina y el Caribe.</w:t>
      </w:r>
      <w:hyperlink r:id="rId10">
        <w:r w:rsidRPr="007D54DE">
          <w:rPr>
            <w:rFonts w:asciiTheme="minorHAnsi" w:hAnsiTheme="minorHAnsi" w:cstheme="minorHAnsi"/>
            <w:color w:val="1155CC"/>
            <w:u w:val="single"/>
          </w:rPr>
          <w:t>https://www.undp.org/content/dam/uruguay/docs/Covid-19/undp-rblac-CD19-PDS-Number10-ES-Uruguay.pdf/</w:t>
        </w:r>
      </w:hyperlink>
      <w:r w:rsidRPr="007D54DE">
        <w:rPr>
          <w:rFonts w:asciiTheme="minorHAnsi" w:hAnsiTheme="minorHAnsi" w:cstheme="minorHAnsi"/>
        </w:rPr>
        <w:t xml:space="preserve"> </w:t>
      </w:r>
    </w:p>
    <w:p w14:paraId="33BFDA92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CEPAL, América Latina y el Caribe ante la Pandemia del COVID-19: Efectos económicos y </w:t>
      </w:r>
      <w:r w:rsidRPr="007D54DE">
        <w:rPr>
          <w:rFonts w:asciiTheme="minorHAnsi" w:hAnsiTheme="minorHAnsi" w:cstheme="minorHAnsi"/>
        </w:rPr>
        <w:lastRenderedPageBreak/>
        <w:t xml:space="preserve">Sociales”, Informe Especial COVID-19, </w:t>
      </w:r>
      <w:proofErr w:type="spellStart"/>
      <w:r w:rsidRPr="007D54DE">
        <w:rPr>
          <w:rFonts w:asciiTheme="minorHAnsi" w:hAnsiTheme="minorHAnsi" w:cstheme="minorHAnsi"/>
        </w:rPr>
        <w:t>N°</w:t>
      </w:r>
      <w:proofErr w:type="spellEnd"/>
      <w:r w:rsidRPr="007D54DE">
        <w:rPr>
          <w:rFonts w:asciiTheme="minorHAnsi" w:hAnsiTheme="minorHAnsi" w:cstheme="minorHAnsi"/>
        </w:rPr>
        <w:t xml:space="preserve"> 1 (Santiago de Chile; CEPAL, 2020), </w:t>
      </w:r>
      <w:hyperlink r:id="rId11">
        <w:r w:rsidRPr="007D54DE">
          <w:rPr>
            <w:rFonts w:asciiTheme="minorHAnsi" w:hAnsiTheme="minorHAnsi" w:cstheme="minorHAnsi"/>
          </w:rPr>
          <w:t>https://repositorio.cepal.org/bitstream/handle/11362/45337/6/S2000264_es.pdf</w:t>
        </w:r>
      </w:hyperlink>
      <w:r w:rsidRPr="007D54DE">
        <w:rPr>
          <w:rFonts w:asciiTheme="minorHAnsi" w:hAnsiTheme="minorHAnsi" w:cstheme="minorHAnsi"/>
        </w:rPr>
        <w:t>/ (</w:t>
      </w:r>
      <w:proofErr w:type="spellStart"/>
      <w:r w:rsidRPr="007D54DE">
        <w:rPr>
          <w:rFonts w:asciiTheme="minorHAnsi" w:hAnsiTheme="minorHAnsi" w:cstheme="minorHAnsi"/>
        </w:rPr>
        <w:t>Accessed</w:t>
      </w:r>
      <w:proofErr w:type="spellEnd"/>
      <w:r w:rsidRPr="007D54DE">
        <w:rPr>
          <w:rFonts w:asciiTheme="minorHAnsi" w:hAnsiTheme="minorHAnsi" w:cstheme="minorHAnsi"/>
        </w:rPr>
        <w:t xml:space="preserve"> Jan 18, 2021).</w:t>
      </w:r>
    </w:p>
    <w:p w14:paraId="6230ED8D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Comisión Económica para América Latina y el Caribe (CEPAL), </w:t>
      </w:r>
      <w:r w:rsidRPr="007D54DE">
        <w:rPr>
          <w:rFonts w:asciiTheme="minorHAnsi" w:hAnsiTheme="minorHAnsi" w:cstheme="minorHAnsi"/>
          <w:i/>
        </w:rPr>
        <w:t>Balance Preliminar de las Economías de América Latina y el Caribe</w:t>
      </w:r>
      <w:r w:rsidRPr="007D54DE">
        <w:rPr>
          <w:rFonts w:asciiTheme="minorHAnsi" w:hAnsiTheme="minorHAnsi" w:cstheme="minorHAnsi"/>
        </w:rPr>
        <w:t xml:space="preserve"> (Santiago: CEPAL, 2020),  </w:t>
      </w:r>
      <w:hyperlink r:id="rId12">
        <w:r w:rsidRPr="007D54DE">
          <w:rPr>
            <w:rFonts w:asciiTheme="minorHAnsi" w:hAnsiTheme="minorHAnsi" w:cstheme="minorHAnsi"/>
            <w:color w:val="1155CC"/>
            <w:u w:val="single"/>
          </w:rPr>
          <w:t>https://repositorio.cepal.org/bitstream/handle/11362/46501/112/S2000881_es.pdf</w:t>
        </w:r>
      </w:hyperlink>
      <w:r w:rsidRPr="007D54DE">
        <w:rPr>
          <w:rFonts w:asciiTheme="minorHAnsi" w:hAnsiTheme="minorHAnsi" w:cstheme="minorHAnsi"/>
        </w:rPr>
        <w:t xml:space="preserve"> </w:t>
      </w:r>
      <w:proofErr w:type="gramStart"/>
      <w:r w:rsidRPr="007D54DE">
        <w:rPr>
          <w:rFonts w:asciiTheme="minorHAnsi" w:hAnsiTheme="minorHAnsi" w:cstheme="minorHAnsi"/>
        </w:rPr>
        <w:t>/(</w:t>
      </w:r>
      <w:proofErr w:type="spellStart"/>
      <w:proofErr w:type="gramEnd"/>
      <w:r w:rsidRPr="007D54DE">
        <w:rPr>
          <w:rFonts w:asciiTheme="minorHAnsi" w:hAnsiTheme="minorHAnsi" w:cstheme="minorHAnsi"/>
        </w:rPr>
        <w:t>Accessed</w:t>
      </w:r>
      <w:proofErr w:type="spellEnd"/>
      <w:r w:rsidRPr="007D54DE">
        <w:rPr>
          <w:rFonts w:asciiTheme="minorHAnsi" w:hAnsiTheme="minorHAnsi" w:cstheme="minorHAnsi"/>
        </w:rPr>
        <w:t xml:space="preserve"> Jan 22, 2021)</w:t>
      </w:r>
    </w:p>
    <w:p w14:paraId="0A162440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proofErr w:type="spellStart"/>
      <w:r w:rsidRPr="007D54DE">
        <w:rPr>
          <w:rFonts w:asciiTheme="minorHAnsi" w:hAnsiTheme="minorHAnsi" w:cstheme="minorHAnsi"/>
        </w:rPr>
        <w:t>Curutchet</w:t>
      </w:r>
      <w:proofErr w:type="spellEnd"/>
      <w:r w:rsidRPr="007D54DE">
        <w:rPr>
          <w:rFonts w:asciiTheme="minorHAnsi" w:hAnsiTheme="minorHAnsi" w:cstheme="minorHAnsi"/>
        </w:rPr>
        <w:t xml:space="preserve">, M.R. Girona A., </w:t>
      </w:r>
      <w:proofErr w:type="spellStart"/>
      <w:r w:rsidRPr="007D54DE">
        <w:rPr>
          <w:rFonts w:asciiTheme="minorHAnsi" w:hAnsiTheme="minorHAnsi" w:cstheme="minorHAnsi"/>
        </w:rPr>
        <w:t>Pardiñas</w:t>
      </w:r>
      <w:proofErr w:type="spellEnd"/>
      <w:r w:rsidRPr="007D54DE">
        <w:rPr>
          <w:rFonts w:asciiTheme="minorHAnsi" w:hAnsiTheme="minorHAnsi" w:cstheme="minorHAnsi"/>
        </w:rPr>
        <w:t xml:space="preserve"> V., Guerra D, Platero E, Machado L., González F., Brunet G., Vidal L., </w:t>
      </w:r>
      <w:proofErr w:type="spellStart"/>
      <w:r w:rsidRPr="007D54DE">
        <w:rPr>
          <w:rFonts w:asciiTheme="minorHAnsi" w:hAnsiTheme="minorHAnsi" w:cstheme="minorHAnsi"/>
        </w:rPr>
        <w:t>Gugliucci</w:t>
      </w:r>
      <w:proofErr w:type="spellEnd"/>
      <w:r w:rsidRPr="007D54DE">
        <w:rPr>
          <w:rFonts w:asciiTheme="minorHAnsi" w:hAnsiTheme="minorHAnsi" w:cstheme="minorHAnsi"/>
        </w:rPr>
        <w:t xml:space="preserve"> V, Ares G. (2020). Cambios en la Alimentación de la Población de Sectores de Ingresos Medios y Altos en el Marco de la Crisis Generada por el Coronavirus (COVID-19) en Uruguay (Montevideo: Udelar , MIDES), </w:t>
      </w:r>
      <w:hyperlink r:id="rId13">
        <w:r w:rsidRPr="007D54DE">
          <w:rPr>
            <w:rFonts w:asciiTheme="minorHAnsi" w:hAnsiTheme="minorHAnsi" w:cstheme="minorHAnsi"/>
          </w:rPr>
          <w:t>https://www.gub.uy/ministerio-desarrollo-social/sites/ministerio-desarrollo-social/files/documentos/noticias/TrabajoINDAUdelaR_0.pdf/</w:t>
        </w:r>
      </w:hyperlink>
      <w:r w:rsidRPr="007D54DE">
        <w:rPr>
          <w:rFonts w:asciiTheme="minorHAnsi" w:hAnsiTheme="minorHAnsi" w:cstheme="minorHAnsi"/>
        </w:rPr>
        <w:t xml:space="preserve"> (</w:t>
      </w:r>
      <w:proofErr w:type="spellStart"/>
      <w:r w:rsidRPr="007D54DE">
        <w:rPr>
          <w:rFonts w:asciiTheme="minorHAnsi" w:hAnsiTheme="minorHAnsi" w:cstheme="minorHAnsi"/>
        </w:rPr>
        <w:t>Accessed</w:t>
      </w:r>
      <w:proofErr w:type="spellEnd"/>
      <w:r w:rsidRPr="007D54DE">
        <w:rPr>
          <w:rFonts w:asciiTheme="minorHAnsi" w:hAnsiTheme="minorHAnsi" w:cstheme="minorHAnsi"/>
        </w:rPr>
        <w:t xml:space="preserve"> Jan 21, 2020).</w:t>
      </w:r>
    </w:p>
    <w:p w14:paraId="0E795F8E" w14:textId="77777777" w:rsidR="007D54DE" w:rsidRPr="007D54DE" w:rsidRDefault="007D54DE" w:rsidP="007D54DE">
      <w:pPr>
        <w:jc w:val="both"/>
        <w:rPr>
          <w:rFonts w:asciiTheme="minorHAnsi" w:hAnsiTheme="minorHAnsi" w:cstheme="minorHAnsi"/>
        </w:rPr>
      </w:pPr>
    </w:p>
    <w:p w14:paraId="615375D1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FAO and CEPAL. (2020). Sistemas alimentarios y COVID-19 en América Latina y el Caribe: Riesgos sanitarios; seguridad de los trabajadores e inocuidad. Boletín N.°4 (Santiago: F, </w:t>
      </w:r>
      <w:hyperlink r:id="rId14">
        <w:r w:rsidRPr="007D54DE">
          <w:rPr>
            <w:rFonts w:asciiTheme="minorHAnsi" w:hAnsiTheme="minorHAnsi" w:cstheme="minorHAnsi"/>
          </w:rPr>
          <w:t>http://www.fao.org/documents/card/en/c/ca9112es</w:t>
        </w:r>
      </w:hyperlink>
      <w:r w:rsidRPr="007D54DE">
        <w:rPr>
          <w:rFonts w:asciiTheme="minorHAnsi" w:hAnsiTheme="minorHAnsi" w:cstheme="minorHAnsi"/>
        </w:rPr>
        <w:t>/</w:t>
      </w:r>
      <w:hyperlink r:id="rId15">
        <w:r w:rsidRPr="007D54DE">
          <w:rPr>
            <w:rFonts w:asciiTheme="minorHAnsi" w:hAnsiTheme="minorHAnsi" w:cstheme="minorHAnsi"/>
          </w:rPr>
          <w:t>/</w:t>
        </w:r>
      </w:hyperlink>
      <w:r w:rsidRPr="007D54DE">
        <w:rPr>
          <w:rFonts w:asciiTheme="minorHAnsi" w:hAnsiTheme="minorHAnsi" w:cstheme="minorHAnsi"/>
        </w:rPr>
        <w:t xml:space="preserve"> (</w:t>
      </w:r>
      <w:proofErr w:type="spellStart"/>
      <w:r w:rsidRPr="007D54DE">
        <w:rPr>
          <w:rFonts w:asciiTheme="minorHAnsi" w:hAnsiTheme="minorHAnsi" w:cstheme="minorHAnsi"/>
        </w:rPr>
        <w:t>Accessed</w:t>
      </w:r>
      <w:proofErr w:type="spellEnd"/>
      <w:r w:rsidRPr="007D54DE">
        <w:rPr>
          <w:rFonts w:asciiTheme="minorHAnsi" w:hAnsiTheme="minorHAnsi" w:cstheme="minorHAnsi"/>
        </w:rPr>
        <w:t xml:space="preserve"> Jan 24, 2021).</w:t>
      </w:r>
    </w:p>
    <w:p w14:paraId="59DBCBB5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FAO and CEPAL, Sistemas alimentarios y COVID-19 en América Latina y el Caribe: Hábitos de consumo de alimentos y malnutrición: Boletín N.°10 (Santiago: FAO, 2020),  </w:t>
      </w:r>
      <w:hyperlink r:id="rId16">
        <w:r w:rsidRPr="007D54DE">
          <w:rPr>
            <w:rFonts w:asciiTheme="minorHAnsi" w:hAnsiTheme="minorHAnsi" w:cstheme="minorHAnsi"/>
          </w:rPr>
          <w:t>https://doi.org/10.4060/cb0217es</w:t>
        </w:r>
      </w:hyperlink>
      <w:r w:rsidRPr="007D54DE">
        <w:rPr>
          <w:rFonts w:asciiTheme="minorHAnsi" w:hAnsiTheme="minorHAnsi" w:cstheme="minorHAnsi"/>
        </w:rPr>
        <w:t>/ (</w:t>
      </w:r>
      <w:proofErr w:type="spellStart"/>
      <w:r w:rsidRPr="007D54DE">
        <w:rPr>
          <w:rFonts w:asciiTheme="minorHAnsi" w:hAnsiTheme="minorHAnsi" w:cstheme="minorHAnsi"/>
        </w:rPr>
        <w:t>Accessed</w:t>
      </w:r>
      <w:proofErr w:type="spellEnd"/>
      <w:r w:rsidRPr="007D54DE">
        <w:rPr>
          <w:rFonts w:asciiTheme="minorHAnsi" w:hAnsiTheme="minorHAnsi" w:cstheme="minorHAnsi"/>
        </w:rPr>
        <w:t xml:space="preserve"> Jan 24, 2021).</w:t>
      </w:r>
    </w:p>
    <w:p w14:paraId="6022D776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proofErr w:type="spellStart"/>
      <w:r w:rsidRPr="007D54DE">
        <w:rPr>
          <w:rFonts w:asciiTheme="minorHAnsi" w:hAnsiTheme="minorHAnsi" w:cstheme="minorHAnsi"/>
        </w:rPr>
        <w:t>Filgueira</w:t>
      </w:r>
      <w:proofErr w:type="spellEnd"/>
      <w:r w:rsidRPr="007D54DE">
        <w:rPr>
          <w:rFonts w:asciiTheme="minorHAnsi" w:hAnsiTheme="minorHAnsi" w:cstheme="minorHAnsi"/>
        </w:rPr>
        <w:t xml:space="preserve"> y Peri, 2004. América Latina: los rostros de la pobreza y sus causas determinantes. Serie Población y Desarrollo No.54 65 </w:t>
      </w:r>
      <w:proofErr w:type="gramStart"/>
      <w:r w:rsidRPr="007D54DE">
        <w:rPr>
          <w:rFonts w:asciiTheme="minorHAnsi" w:hAnsiTheme="minorHAnsi" w:cstheme="minorHAnsi"/>
        </w:rPr>
        <w:t>p. :</w:t>
      </w:r>
      <w:proofErr w:type="gramEnd"/>
      <w:r w:rsidRPr="007D54DE">
        <w:rPr>
          <w:rFonts w:asciiTheme="minorHAnsi" w:hAnsiTheme="minorHAnsi" w:cstheme="minorHAnsi"/>
        </w:rPr>
        <w:t xml:space="preserve"> </w:t>
      </w:r>
      <w:proofErr w:type="spellStart"/>
      <w:r w:rsidRPr="007D54DE">
        <w:rPr>
          <w:rFonts w:asciiTheme="minorHAnsi" w:hAnsiTheme="minorHAnsi" w:cstheme="minorHAnsi"/>
        </w:rPr>
        <w:t>gráfs</w:t>
      </w:r>
      <w:proofErr w:type="spellEnd"/>
      <w:r w:rsidRPr="007D54DE">
        <w:rPr>
          <w:rFonts w:asciiTheme="minorHAnsi" w:hAnsiTheme="minorHAnsi" w:cstheme="minorHAnsi"/>
        </w:rPr>
        <w:t>. Símbolo ONU: LC/L.2149-P.</w:t>
      </w:r>
    </w:p>
    <w:p w14:paraId="33B0BB9C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proofErr w:type="spellStart"/>
      <w:r w:rsidRPr="007D54DE">
        <w:rPr>
          <w:rFonts w:asciiTheme="minorHAnsi" w:hAnsiTheme="minorHAnsi" w:cstheme="minorHAnsi"/>
        </w:rPr>
        <w:t>Lavell</w:t>
      </w:r>
      <w:proofErr w:type="spellEnd"/>
      <w:r w:rsidRPr="007D54DE">
        <w:rPr>
          <w:rFonts w:asciiTheme="minorHAnsi" w:hAnsiTheme="minorHAnsi" w:cstheme="minorHAnsi"/>
        </w:rPr>
        <w:t>, Allan. 2001. Sobre la Gestión del Riesgo: apuntes hacia una definición.</w:t>
      </w:r>
    </w:p>
    <w:p w14:paraId="1E1A1F2C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 </w:t>
      </w:r>
      <w:proofErr w:type="spellStart"/>
      <w:r w:rsidRPr="007D54DE">
        <w:rPr>
          <w:rFonts w:asciiTheme="minorHAnsi" w:hAnsiTheme="minorHAnsi" w:cstheme="minorHAnsi"/>
        </w:rPr>
        <w:t>Mordecki</w:t>
      </w:r>
      <w:proofErr w:type="spellEnd"/>
      <w:r w:rsidRPr="007D54DE">
        <w:rPr>
          <w:rFonts w:asciiTheme="minorHAnsi" w:hAnsiTheme="minorHAnsi" w:cstheme="minorHAnsi"/>
        </w:rPr>
        <w:t xml:space="preserve"> Gabriela. </w:t>
      </w:r>
      <w:r w:rsidRPr="007D54DE">
        <w:rPr>
          <w:rFonts w:asciiTheme="minorHAnsi" w:hAnsiTheme="minorHAnsi" w:cstheme="minorHAnsi"/>
          <w:i/>
        </w:rPr>
        <w:t xml:space="preserve">Coyuntura económica uruguaya en épocas de pandemia. </w:t>
      </w:r>
      <w:r w:rsidRPr="007D54DE">
        <w:rPr>
          <w:rFonts w:asciiTheme="minorHAnsi" w:hAnsiTheme="minorHAnsi" w:cstheme="minorHAnsi"/>
        </w:rPr>
        <w:t>Montevideo: Facultad de Ciencias Económicas y de Administración, Instituto de Economía, Universidad de la República, 2020. https://www.colibri.udelar.edu.uy/jspui/bitstream/20.500.12008/25031/1/Coyuntura_uruguaya_en_%c3%a9pocas_de_pandemia.pdf.</w:t>
      </w:r>
    </w:p>
    <w:p w14:paraId="6B2AAA1B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PROGRAMA MUNDIAL DE ALIMENTOS (PMA., Servicio de Análisis de la Seguridad Alimentaria. Manual para la Evaluación de la Seguridad Alimentaria en Emergencias - segunda edición. Enero 2009.</w:t>
      </w:r>
    </w:p>
    <w:p w14:paraId="5ECCC6D1" w14:textId="77777777" w:rsidR="007D54DE" w:rsidRPr="007D54DE" w:rsidRDefault="007D54DE" w:rsidP="007D54DE">
      <w:pPr>
        <w:numPr>
          <w:ilvl w:val="0"/>
          <w:numId w:val="20"/>
        </w:numPr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proofErr w:type="spellStart"/>
      <w:r w:rsidRPr="007D54DE">
        <w:rPr>
          <w:rFonts w:asciiTheme="minorHAnsi" w:hAnsiTheme="minorHAnsi" w:cstheme="minorHAnsi"/>
        </w:rPr>
        <w:t>Rieiro</w:t>
      </w:r>
      <w:proofErr w:type="spellEnd"/>
      <w:r w:rsidRPr="007D54DE">
        <w:rPr>
          <w:rFonts w:asciiTheme="minorHAnsi" w:hAnsiTheme="minorHAnsi" w:cstheme="minorHAnsi"/>
        </w:rPr>
        <w:t xml:space="preserve">, Anabel, Castro, Diego, Pena, Daniel, Zino, Camilo, Veas, Rocío. </w:t>
      </w:r>
      <w:r w:rsidRPr="007D54DE">
        <w:rPr>
          <w:rFonts w:asciiTheme="minorHAnsi" w:hAnsiTheme="minorHAnsi" w:cstheme="minorHAnsi"/>
          <w:i/>
        </w:rPr>
        <w:t>Ollas y merenderos populares en Uruguay: Tramas para sostener la vida frente a la pandemia</w:t>
      </w:r>
      <w:r w:rsidRPr="007D54DE">
        <w:rPr>
          <w:rFonts w:asciiTheme="minorHAnsi" w:hAnsiTheme="minorHAnsi" w:cstheme="minorHAnsi"/>
        </w:rPr>
        <w:t xml:space="preserve">. Montevideo: Facultad de Ciencias Sociales, Comisión Sectorial de Extensión y Actividades en el Medio, Asociación de Bancarios del Uruguay, 2020. </w:t>
      </w:r>
      <w:hyperlink r:id="rId17">
        <w:r w:rsidRPr="007D54DE">
          <w:rPr>
            <w:rFonts w:asciiTheme="minorHAnsi" w:hAnsiTheme="minorHAnsi" w:cstheme="minorHAnsi"/>
            <w:color w:val="1155CC"/>
            <w:u w:val="single"/>
          </w:rPr>
          <w:t>https://cienciassociales.edu.uy/wp-content/uploads/2020/12/Ollas-y-merenderos-populares_Uruguay-2020-1.pdf/</w:t>
        </w:r>
      </w:hyperlink>
      <w:r w:rsidRPr="007D54DE">
        <w:rPr>
          <w:rFonts w:asciiTheme="minorHAnsi" w:hAnsiTheme="minorHAnsi" w:cstheme="minorHAnsi"/>
        </w:rPr>
        <w:t xml:space="preserve"> </w:t>
      </w:r>
    </w:p>
    <w:p w14:paraId="70F42740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SINAE. Albergues Temporales Guía para la planificación, montaje y gestión de albergues </w:t>
      </w:r>
      <w:r w:rsidRPr="007D54DE">
        <w:rPr>
          <w:rFonts w:asciiTheme="minorHAnsi" w:hAnsiTheme="minorHAnsi" w:cstheme="minorHAnsi"/>
        </w:rPr>
        <w:lastRenderedPageBreak/>
        <w:t>temporales durante emergencias.</w:t>
      </w:r>
    </w:p>
    <w:p w14:paraId="6192AE98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>OPS, 2004. Gestión de la Información y Comunicación en Emergencia y Desastres. Guía para equipos de respuesta.</w:t>
      </w:r>
    </w:p>
    <w:p w14:paraId="5340F03C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proofErr w:type="spellStart"/>
      <w:r w:rsidRPr="007D54DE">
        <w:rPr>
          <w:rFonts w:asciiTheme="minorHAnsi" w:hAnsiTheme="minorHAnsi" w:cstheme="minorHAnsi"/>
        </w:rPr>
        <w:t>Perez</w:t>
      </w:r>
      <w:proofErr w:type="spellEnd"/>
      <w:r w:rsidRPr="007D54DE">
        <w:rPr>
          <w:rFonts w:asciiTheme="minorHAnsi" w:hAnsiTheme="minorHAnsi" w:cstheme="minorHAnsi"/>
        </w:rPr>
        <w:t xml:space="preserve">, P. (2004). Intervención en catástrofes desde un enfoque psicosocial y comunitario. </w:t>
      </w:r>
      <w:proofErr w:type="spellStart"/>
      <w:r w:rsidRPr="007D54DE">
        <w:rPr>
          <w:rFonts w:asciiTheme="minorHAnsi" w:hAnsiTheme="minorHAnsi" w:cstheme="minorHAnsi"/>
        </w:rPr>
        <w:t>Átopos</w:t>
      </w:r>
      <w:proofErr w:type="spellEnd"/>
      <w:r w:rsidRPr="007D54DE">
        <w:rPr>
          <w:rFonts w:asciiTheme="minorHAnsi" w:hAnsiTheme="minorHAnsi" w:cstheme="minorHAnsi"/>
        </w:rPr>
        <w:t>. 1,5-16. Recuperado de http://www.pauperez.cat</w:t>
      </w:r>
    </w:p>
    <w:p w14:paraId="7D4D00AA" w14:textId="77777777" w:rsidR="007D54DE" w:rsidRPr="007D54DE" w:rsidRDefault="007D54DE" w:rsidP="007D54DE">
      <w:pPr>
        <w:numPr>
          <w:ilvl w:val="0"/>
          <w:numId w:val="20"/>
        </w:numPr>
        <w:autoSpaceDN/>
        <w:jc w:val="both"/>
        <w:textAlignment w:val="auto"/>
        <w:rPr>
          <w:rFonts w:asciiTheme="minorHAnsi" w:hAnsiTheme="minorHAnsi" w:cstheme="minorHAnsi"/>
        </w:rPr>
      </w:pPr>
      <w:r w:rsidRPr="007D54DE">
        <w:rPr>
          <w:rFonts w:asciiTheme="minorHAnsi" w:hAnsiTheme="minorHAnsi" w:cstheme="minorHAnsi"/>
        </w:rPr>
        <w:t xml:space="preserve">Perona, Nélida y </w:t>
      </w:r>
      <w:proofErr w:type="spellStart"/>
      <w:r w:rsidRPr="007D54DE">
        <w:rPr>
          <w:rFonts w:asciiTheme="minorHAnsi" w:hAnsiTheme="minorHAnsi" w:cstheme="minorHAnsi"/>
        </w:rPr>
        <w:t>Rocchi</w:t>
      </w:r>
      <w:proofErr w:type="spellEnd"/>
      <w:r w:rsidRPr="007D54DE">
        <w:rPr>
          <w:rFonts w:asciiTheme="minorHAnsi" w:hAnsiTheme="minorHAnsi" w:cstheme="minorHAnsi"/>
        </w:rPr>
        <w:t>, Graciela. 2016. Vulnerabilidad y Exclusión social. Una propuesta metodológica para el estudio de las condiciones de vida de los hogares. Revista de Temas Sociales – ISSN 1514-9331</w:t>
      </w:r>
      <w:hyperlink r:id="rId18">
        <w:r w:rsidRPr="007D54DE">
          <w:rPr>
            <w:rFonts w:asciiTheme="minorHAnsi" w:hAnsiTheme="minorHAnsi" w:cstheme="minorHAnsi"/>
            <w:u w:val="single"/>
          </w:rPr>
          <w:t>https://www.revistakairos.org/vulnerabilidad-y-exclusion-social-una-propuesta-metodologica-para-el-estudio-de-las-condiciones-de-vida-de-los-hogares/</w:t>
        </w:r>
      </w:hyperlink>
    </w:p>
    <w:p w14:paraId="44EAFD9C" w14:textId="56CD8808" w:rsidR="006A58FD" w:rsidRPr="007D54DE" w:rsidRDefault="007D54DE" w:rsidP="007D54DE">
      <w:pPr>
        <w:numPr>
          <w:ilvl w:val="0"/>
          <w:numId w:val="20"/>
        </w:numPr>
        <w:autoSpaceDN/>
        <w:spacing w:after="240"/>
        <w:jc w:val="both"/>
        <w:textAlignment w:val="auto"/>
        <w:rPr>
          <w:rFonts w:asciiTheme="minorHAnsi" w:hAnsiTheme="minorHAnsi" w:cstheme="minorHAnsi"/>
        </w:rPr>
      </w:pPr>
      <w:proofErr w:type="spellStart"/>
      <w:proofErr w:type="gramStart"/>
      <w:r w:rsidRPr="007D54DE">
        <w:rPr>
          <w:rFonts w:asciiTheme="minorHAnsi" w:hAnsiTheme="minorHAnsi" w:cstheme="minorHAnsi"/>
          <w:color w:val="202124"/>
        </w:rPr>
        <w:t>Salazar,</w:t>
      </w:r>
      <w:r w:rsidRPr="007D54DE">
        <w:rPr>
          <w:rFonts w:asciiTheme="minorHAnsi" w:hAnsiTheme="minorHAnsi" w:cstheme="minorHAnsi"/>
        </w:rPr>
        <w:t>Lina</w:t>
      </w:r>
      <w:proofErr w:type="spellEnd"/>
      <w:proofErr w:type="gramEnd"/>
      <w:r w:rsidRPr="007D54DE">
        <w:rPr>
          <w:rFonts w:asciiTheme="minorHAnsi" w:hAnsiTheme="minorHAnsi" w:cstheme="minorHAnsi"/>
        </w:rPr>
        <w:t xml:space="preserve">,  Muñoz, Gonzalo. </w:t>
      </w:r>
      <w:r w:rsidRPr="007D54DE">
        <w:rPr>
          <w:rFonts w:asciiTheme="minorHAnsi" w:hAnsiTheme="minorHAnsi" w:cstheme="minorHAnsi"/>
          <w:i/>
        </w:rPr>
        <w:t xml:space="preserve">Garantizando la Seguridad Alimentaria en ALC en el Contexto del Covid-19: </w:t>
      </w:r>
      <w:proofErr w:type="gramStart"/>
      <w:r w:rsidRPr="007D54DE">
        <w:rPr>
          <w:rFonts w:asciiTheme="minorHAnsi" w:hAnsiTheme="minorHAnsi" w:cstheme="minorHAnsi"/>
          <w:i/>
        </w:rPr>
        <w:t>Retos  e</w:t>
      </w:r>
      <w:proofErr w:type="gramEnd"/>
      <w:r w:rsidRPr="007D54DE">
        <w:rPr>
          <w:rFonts w:asciiTheme="minorHAnsi" w:hAnsiTheme="minorHAnsi" w:cstheme="minorHAnsi"/>
          <w:i/>
        </w:rPr>
        <w:t xml:space="preserve"> Intervenciones. </w:t>
      </w:r>
      <w:r w:rsidRPr="007D54DE">
        <w:rPr>
          <w:rFonts w:asciiTheme="minorHAnsi" w:hAnsiTheme="minorHAnsi" w:cstheme="minorHAnsi"/>
        </w:rPr>
        <w:t xml:space="preserve">Banco Interamericano de Desarrollo (BID), 2020. </w:t>
      </w:r>
      <w:proofErr w:type="spellStart"/>
      <w:r w:rsidRPr="007D54DE">
        <w:rPr>
          <w:rFonts w:asciiTheme="minorHAnsi" w:hAnsiTheme="minorHAnsi" w:cstheme="minorHAnsi"/>
        </w:rPr>
        <w:t>doi</w:t>
      </w:r>
      <w:proofErr w:type="spellEnd"/>
      <w:r w:rsidRPr="007D54DE">
        <w:rPr>
          <w:rFonts w:asciiTheme="minorHAnsi" w:hAnsiTheme="minorHAnsi" w:cstheme="minorHAnsi"/>
        </w:rPr>
        <w:t xml:space="preserve"> </w:t>
      </w:r>
      <w:hyperlink r:id="rId19">
        <w:r w:rsidRPr="007D54DE">
          <w:rPr>
            <w:rFonts w:asciiTheme="minorHAnsi" w:hAnsiTheme="minorHAnsi" w:cstheme="minorHAnsi"/>
            <w:color w:val="303030"/>
          </w:rPr>
          <w:t xml:space="preserve"> </w:t>
        </w:r>
      </w:hyperlink>
      <w:hyperlink r:id="rId20">
        <w:r w:rsidRPr="007D54DE">
          <w:rPr>
            <w:rFonts w:asciiTheme="minorHAnsi" w:hAnsiTheme="minorHAnsi" w:cstheme="minorHAnsi"/>
            <w:u w:val="single"/>
          </w:rPr>
          <w:t>http://dx.doi.org/10.18235/0002396</w:t>
        </w:r>
      </w:hyperlink>
      <w:r w:rsidRPr="007D54DE">
        <w:rPr>
          <w:rFonts w:asciiTheme="minorHAnsi" w:hAnsiTheme="minorHAnsi" w:cstheme="minorHAnsi"/>
        </w:rPr>
        <w:t>/ (</w:t>
      </w:r>
      <w:proofErr w:type="spellStart"/>
      <w:r w:rsidRPr="007D54DE">
        <w:rPr>
          <w:rFonts w:asciiTheme="minorHAnsi" w:hAnsiTheme="minorHAnsi" w:cstheme="minorHAnsi"/>
        </w:rPr>
        <w:t>Accessed</w:t>
      </w:r>
      <w:proofErr w:type="spellEnd"/>
      <w:r w:rsidRPr="007D54DE">
        <w:rPr>
          <w:rFonts w:asciiTheme="minorHAnsi" w:hAnsiTheme="minorHAnsi" w:cstheme="minorHAnsi"/>
        </w:rPr>
        <w:t xml:space="preserve"> Jan 20, 2021)</w:t>
      </w:r>
    </w:p>
    <w:sectPr w:rsidR="006A58FD" w:rsidRPr="007D54DE" w:rsidSect="00934070">
      <w:headerReference w:type="default" r:id="rId2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EC9E" w14:textId="77777777" w:rsidR="00112BEE" w:rsidRDefault="00112BEE">
      <w:r>
        <w:separator/>
      </w:r>
    </w:p>
  </w:endnote>
  <w:endnote w:type="continuationSeparator" w:id="0">
    <w:p w14:paraId="090433F3" w14:textId="77777777" w:rsidR="00112BEE" w:rsidRDefault="0011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4BB7" w14:textId="77777777" w:rsidR="00112BEE" w:rsidRDefault="00112BEE">
      <w:r>
        <w:rPr>
          <w:color w:val="000000"/>
        </w:rPr>
        <w:separator/>
      </w:r>
    </w:p>
  </w:footnote>
  <w:footnote w:type="continuationSeparator" w:id="0">
    <w:p w14:paraId="6F09BA0E" w14:textId="77777777" w:rsidR="00112BEE" w:rsidRDefault="0011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3DB8" w14:textId="77777777" w:rsidR="00F40845" w:rsidRDefault="00213F98">
    <w:pPr>
      <w:pStyle w:val="Encabezado"/>
    </w:pPr>
    <w:r>
      <w:rPr>
        <w:noProof/>
        <w:lang w:val="es-UY" w:eastAsia="es-UY" w:bidi="ar-SA"/>
      </w:rPr>
      <w:drawing>
        <wp:anchor distT="0" distB="0" distL="114300" distR="114300" simplePos="0" relativeHeight="251659264" behindDoc="0" locked="0" layoutInCell="1" allowOverlap="1" wp14:anchorId="08B73133" wp14:editId="76E71F9B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9996" cy="868680"/>
          <wp:effectExtent l="0" t="0" r="0" b="7620"/>
          <wp:wrapTopAndBottom/>
          <wp:docPr id="1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868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UY" w:eastAsia="es-UY" w:bidi="ar-SA"/>
      </w:rPr>
      <w:drawing>
        <wp:anchor distT="0" distB="0" distL="114300" distR="114300" simplePos="0" relativeHeight="251660288" behindDoc="0" locked="0" layoutInCell="1" allowOverlap="1" wp14:anchorId="1BB47259" wp14:editId="74938FAE">
          <wp:simplePos x="0" y="0"/>
          <wp:positionH relativeFrom="column">
            <wp:posOffset>-485637</wp:posOffset>
          </wp:positionH>
          <wp:positionV relativeFrom="paragraph">
            <wp:posOffset>8231401</wp:posOffset>
          </wp:positionV>
          <wp:extent cx="989280" cy="1405076"/>
          <wp:effectExtent l="0" t="0" r="0" b="0"/>
          <wp:wrapTopAndBottom/>
          <wp:docPr id="2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280" cy="14050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0B7D41"/>
    <w:multiLevelType w:val="multilevel"/>
    <w:tmpl w:val="09E4F12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03CE195F"/>
    <w:multiLevelType w:val="multilevel"/>
    <w:tmpl w:val="20EEBAE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07562337"/>
    <w:multiLevelType w:val="hybridMultilevel"/>
    <w:tmpl w:val="07861C82"/>
    <w:lvl w:ilvl="0" w:tplc="D62E22C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140AA"/>
    <w:multiLevelType w:val="multilevel"/>
    <w:tmpl w:val="0C8CD5A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1CFB75DD"/>
    <w:multiLevelType w:val="multilevel"/>
    <w:tmpl w:val="C3286630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234C5E8B"/>
    <w:multiLevelType w:val="multilevel"/>
    <w:tmpl w:val="853CF39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2AD32915"/>
    <w:multiLevelType w:val="multilevel"/>
    <w:tmpl w:val="7D7C885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2E4C4BDF"/>
    <w:multiLevelType w:val="multilevel"/>
    <w:tmpl w:val="DF58F59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358748E5"/>
    <w:multiLevelType w:val="multilevel"/>
    <w:tmpl w:val="85E0427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1DA5C01"/>
    <w:multiLevelType w:val="multilevel"/>
    <w:tmpl w:val="A75E4C1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55BA785E"/>
    <w:multiLevelType w:val="multilevel"/>
    <w:tmpl w:val="EE9C8E56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622E5A50"/>
    <w:multiLevelType w:val="multilevel"/>
    <w:tmpl w:val="F06C05D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 w15:restartNumberingAfterBreak="0">
    <w:nsid w:val="64D87031"/>
    <w:multiLevelType w:val="multilevel"/>
    <w:tmpl w:val="D0E2F48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 w15:restartNumberingAfterBreak="0">
    <w:nsid w:val="68AF5D57"/>
    <w:multiLevelType w:val="multilevel"/>
    <w:tmpl w:val="54AE0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6E9A5EEE"/>
    <w:multiLevelType w:val="multilevel"/>
    <w:tmpl w:val="55340B4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71936868"/>
    <w:multiLevelType w:val="multilevel"/>
    <w:tmpl w:val="5F7C9B4A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15"/>
  </w:num>
  <w:num w:numId="8">
    <w:abstractNumId w:val="4"/>
  </w:num>
  <w:num w:numId="9">
    <w:abstractNumId w:val="10"/>
  </w:num>
  <w:num w:numId="10">
    <w:abstractNumId w:val="11"/>
  </w:num>
  <w:num w:numId="11">
    <w:abstractNumId w:val="14"/>
  </w:num>
  <w:num w:numId="12">
    <w:abstractNumId w:val="5"/>
  </w:num>
  <w:num w:numId="13">
    <w:abstractNumId w:val="9"/>
  </w:num>
  <w:num w:numId="14">
    <w:abstractNumId w:val="17"/>
  </w:num>
  <w:num w:numId="15">
    <w:abstractNumId w:val="18"/>
  </w:num>
  <w:num w:numId="16">
    <w:abstractNumId w:val="19"/>
  </w:num>
  <w:num w:numId="17">
    <w:abstractNumId w:val="7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DF"/>
    <w:rsid w:val="00112BEE"/>
    <w:rsid w:val="001526D7"/>
    <w:rsid w:val="0015516B"/>
    <w:rsid w:val="00166C50"/>
    <w:rsid w:val="001876AD"/>
    <w:rsid w:val="001C182C"/>
    <w:rsid w:val="00213F98"/>
    <w:rsid w:val="002F2905"/>
    <w:rsid w:val="002F419F"/>
    <w:rsid w:val="00306185"/>
    <w:rsid w:val="003440B4"/>
    <w:rsid w:val="004E3527"/>
    <w:rsid w:val="00544A43"/>
    <w:rsid w:val="005B744F"/>
    <w:rsid w:val="005E4A61"/>
    <w:rsid w:val="006A41DF"/>
    <w:rsid w:val="006A58FD"/>
    <w:rsid w:val="007010A9"/>
    <w:rsid w:val="0076492D"/>
    <w:rsid w:val="007D54DE"/>
    <w:rsid w:val="00806B51"/>
    <w:rsid w:val="00880BBF"/>
    <w:rsid w:val="00934070"/>
    <w:rsid w:val="009421EF"/>
    <w:rsid w:val="009460A3"/>
    <w:rsid w:val="00A3397E"/>
    <w:rsid w:val="00B43E49"/>
    <w:rsid w:val="00C36EDA"/>
    <w:rsid w:val="00CB34B9"/>
    <w:rsid w:val="00D23BCF"/>
    <w:rsid w:val="00EC1336"/>
    <w:rsid w:val="00FB6ADC"/>
    <w:rsid w:val="0BC58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7490"/>
  <w15:docId w15:val="{24A3FB51-DFA7-4127-BBC7-E5CAB1E6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Prrafodelista">
    <w:name w:val="List Paragraph"/>
    <w:basedOn w:val="Normal"/>
    <w:uiPriority w:val="34"/>
    <w:qFormat/>
    <w:rsid w:val="009421EF"/>
    <w:pPr>
      <w:widowControl/>
      <w:suppressAutoHyphens w:val="0"/>
      <w:autoSpaceDN/>
      <w:ind w:left="720"/>
      <w:contextualSpacing/>
      <w:jc w:val="both"/>
      <w:textAlignment w:val="auto"/>
    </w:pPr>
    <w:rPr>
      <w:rFonts w:ascii="Arial" w:eastAsiaTheme="minorHAnsi" w:hAnsi="Arial" w:cstheme="minorBidi"/>
      <w:b/>
      <w:kern w:val="0"/>
      <w:sz w:val="28"/>
      <w:szCs w:val="22"/>
      <w:lang w:eastAsia="en-US" w:bidi="ar-SA"/>
    </w:rPr>
  </w:style>
  <w:style w:type="paragraph" w:customStyle="1" w:styleId="Default">
    <w:name w:val="Default"/>
    <w:rsid w:val="00306185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val="es-UY" w:bidi="ar-SA"/>
    </w:rPr>
  </w:style>
  <w:style w:type="table" w:customStyle="1" w:styleId="TableNormal">
    <w:name w:val="Table Normal"/>
    <w:rsid w:val="007D54DE"/>
    <w:pPr>
      <w:widowControl/>
      <w:suppressAutoHyphens/>
      <w:autoSpaceDN/>
      <w:textAlignment w:val="auto"/>
    </w:pPr>
    <w:rPr>
      <w:rFonts w:ascii="Arial" w:eastAsia="Arial" w:hAnsi="Arial" w:cs="Arial"/>
      <w:kern w:val="0"/>
      <w:sz w:val="20"/>
      <w:szCs w:val="22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uruguay/informes/acciones-del-estado-uruguayo-para-favorecer-el-acceso-alimentos-y-productos-de-higiene/" TargetMode="External"/><Relationship Id="rId13" Type="http://schemas.openxmlformats.org/officeDocument/2006/relationships/hyperlink" Target="https://www.gub.uy/ministerio-desarrollo-social/sites/ministerio-desarrollo-social/files/documentos/noticias/TrabajoINDAUdelaR_0.pdf/" TargetMode="External"/><Relationship Id="rId18" Type="http://schemas.openxmlformats.org/officeDocument/2006/relationships/hyperlink" Target="https://www.revistakairos.org/vulnerabilidad-y-exclusion-social-una-propuesta-metodologica-para-el-estudio-de-las-condiciones-de-vida-de-los-hogares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unicef.org/uruguay/informes/acciones-de-la-sociedad-civil-uruguaya-para-favorecer-el-acceso-alimentos-y-productos-de/" TargetMode="External"/><Relationship Id="rId12" Type="http://schemas.openxmlformats.org/officeDocument/2006/relationships/hyperlink" Target="https://repositorio.cepal.org/bitstream/handle/11362/46501/112/S2000881_es.pdf" TargetMode="External"/><Relationship Id="rId17" Type="http://schemas.openxmlformats.org/officeDocument/2006/relationships/hyperlink" Target="https://cienciassociales.edu.uy/wp-content/uploads/2020/12/Ollas-y-merenderos-populares_Uruguay-2020-1.pd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4060/cb0217es" TargetMode="External"/><Relationship Id="rId20" Type="http://schemas.openxmlformats.org/officeDocument/2006/relationships/hyperlink" Target="http://dx.doi.org/10.18235/00023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io.cepal.org/bitstream/handle/11362/45337/6/S2000264_e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4060/ca8873e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ndp.org/content/dam/uruguay/docs/Covid-19/undp-rblac-CD19-PDS-Number10-ES-Uruguay.pdf/" TargetMode="External"/><Relationship Id="rId19" Type="http://schemas.openxmlformats.org/officeDocument/2006/relationships/hyperlink" Target="http://dx.doi.org/10.18235/0002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ibri.udelar.edu.uy/jspui/bitstream/20.500.12008/24083/1/Estimaci&#243;n_del_efecto_de_corto_plazo_de_la_covid-19_en_la_pobreza_en_Uruguay.pdf" TargetMode="External"/><Relationship Id="rId14" Type="http://schemas.openxmlformats.org/officeDocument/2006/relationships/hyperlink" Target="http://www.fao.org/documents/card/en/c/ca9112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1601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 Saravia</cp:lastModifiedBy>
  <cp:revision>2</cp:revision>
  <cp:lastPrinted>2021-07-19T18:24:00Z</cp:lastPrinted>
  <dcterms:created xsi:type="dcterms:W3CDTF">2021-08-13T19:08:00Z</dcterms:created>
  <dcterms:modified xsi:type="dcterms:W3CDTF">2021-08-13T19:08:00Z</dcterms:modified>
</cp:coreProperties>
</file>